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C-3099/2006 vom 17. März 2008</w:t>
      </w:r>
    </w:p>
    <w:p>
      <w:r>
        <w:t>Bundesverwaltungsgericht, 2008-03-17, DE</w:t>
      </w:r>
    </w:p>
    <w:p>
      <w:r>
        <w:rPr>
          <w:b/>
        </w:rPr>
        <w:t xml:space="preserve">Quelle: </w:t>
      </w:r>
      <w:r>
        <w:t>https://mcp.opencaselaw.ch/entscheid/bvger_C-3099_2006</w:t>
      </w:r>
    </w:p>
    <w:p>
      <w:r>
        <w:t>FR: TAF C-3099/2006 du 17 mars 2008</w:t>
      </w:r>
    </w:p>
    <w:p>
      <w:r>
        <w:t>IT: TAF C-3099/2006 del 17 marzo 2008</w:t>
      </w:r>
    </w:p>
    <w:p>
      <w:pPr>
        <w:pStyle w:val="Heading2"/>
      </w:pPr>
      <w:r>
        <w:t>Regeste</w:t>
      </w:r>
    </w:p>
    <w:p>
      <w:r>
        <w:t>Invaliditätsbemessung</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Im Streit liegt der Einspracheentscheid der IV-Stelle für Versicherte im Ausland vom 15. November 2006.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zur Anwendung des VwVG im Verfahren vor der Rekurskommission AHV/IV siehe Art. 69 Abs. 2 IVG in Verbindung mit Art. 85bis des Bundesgesetzes vom 20. Dezember 1946 über die Alters- und Hinterlassenenversicherung [AHVG, SR 831.10] in der bis Ende Dezember 2006 gültigen Fassung). Vorbehalten bleiben gemäss Art. 3 Bst. dbis VwVG die besonderen Bestimmungen des Bundesgesetzes über den Allgemeinen Teil des Sozialversicherungsrechts (ATSG, SR 830.1).</w:t>
      </w:r>
    </w:p>
    <w:p>
      <w:r>
        <w:rPr>
          <w:b/>
        </w:rPr>
        <w:t>E. 2.1</w:t>
      </w:r>
    </w:p>
    <w:p>
      <w:r>
        <w:t>Als Adressat des die Einsprache abweisenden Entscheides ist der Beschwerdeführer berührt und er hat ein schutzwürdiges Interesse an dessen Aufhebung oder Änderung (Art. 59 ATSG, Art. 48 Abs. 1 VwVG). Die Beschwerde wurde fristgerecht eingereicht (vgl. Art. 38 ff. und Art. 60 ATSG). Die Beschwerdeschrift enthält kein ausdrücklich formuliertes Rechtsbegehren (vgl. Art. 52 Abs. 1 VwVG). Aus dem Vorbringen, es sei nicht einzusehen, weshalb zwei Rentenversicherer hinsichtlich der Beurteilung der Arbeitsfähigkeit in einer leichten Tätigkeit zu so unterschiedlichen Einschätzungen kämen, geht aber klar hervor, weshalb er mit dem angefochtenen Entscheid nicht einverstanden ist und dass er eine nochmalige Überprüfung seines Rentenanspruchs beantragt. Da praxisgemäss im erstinstanzlichen Sozialversicherungsprozess an die erforderliche Form und den Inhalt einer Beschwerde keine allzu hohen Anforderungen zu stellen sind (vgl. BGE 116 V 353 E. 2b; BGE 114 V 203 E. 1b; Urteil des Eidgenössischen Versicherungsgerichts [EVG] I 126/05 vom 6. Juni 2005 E. 2) und das Rechtsbegehren nicht ausdrücklich formuliert sein muss, sondern auch der Beschwerdebegründung entnommen werden kann (Ueli Kieser, ATSG-Kommentar, Zürich 2003, Art. 61 Rz. 39), ist auf die Beschwerde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w:t>
      </w:r>
    </w:p>
    <w:p>
      <w:r>
        <w:t>Zunächst sind die für die Beurteilung der vorliegenden Streitsache wesentlichen Rechtssätze und die von der Rechtsprechung entwickelten Grundsätze darzustellen.</w:t>
      </w:r>
    </w:p>
    <w:p>
      <w:r>
        <w:rPr>
          <w:b/>
        </w:rPr>
        <w:t>E. 3.1</w:t>
      </w:r>
    </w:p>
    <w:p>
      <w:r>
        <w:t>Nach der Rechtsprechung stellt das Sozialversicherungsgericht bei der Beurteilung einer Streitsache in der Regel auf den bis zum Zeitpunkt des Erlasses des streitigen Einspracheentscheides (hier: 15. November 2006) eingetretenen Sachverhalt ab (BGE 129 V 1 E. 1.2 mit Hinweis).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Verordnung vom 17. Januar 1961 über die Invalidenversicherung (IVV, SR 831.201)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 Der Beschwerdeführer ist deutscher Staatsangehöriger, weshalb auch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Gemäss Art. 28 Abs. 1 IVG haben Versicherte bei einem Invaliditätsgrad von mindestens 70 Prozent Anspruch auf eine ganze Rente, bei mindestens 60 Prozent auf eine Dreiviertelsrente, bei mindestens 50 Prozent auf eine halbe Rente oder auf eine Viertelsrente, wenn sie mindestens zu 40 Prozent invalid sind. Laut Abs. 1ter dieser Norm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w:t>
      </w:r>
    </w:p>
    <w:p>
      <w:r>
        <w:rPr>
          <w:b/>
        </w:rPr>
        <w:t>E. 3.4</w:t>
      </w:r>
    </w:p>
    <w:p>
      <w:r>
        <w:t>Der Rentenanspruch entsteht gemäss Art. 29 Abs. 1 IVG frühestens in dem Zeitpunkt, in dem die versicherte Person mindestens zu 40 Prozent bleibend erwerbsunfähig (Art. 7 ATSG) geworden ist (Bst. a) oder während eines Jahres ohne wesentlichen Unterbruch durchschnittlich mindestens zu 40 Prozent arbeitsunfähig (Art. 6 ATSG) gewesen war (Bst. b).</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3.7</w:t>
      </w:r>
    </w:p>
    <w:p>
      <w:r>
        <w:t>Die Gewährung von Leistungen durch ein deutsches Versicherungsorgan präjudiziert die invalidenversicherungsrechtliche Beurteilung nach schweizerischem Recht nicht. Der Invaliditätsgrad bestimmt sich auch nach dem Inkrafttreten des FZA nach schweizerischem Recht (BGE 130 V 253 E. 2.4). Nach Art. 40 Abs. 4 der Verordnung Nr. 1408/71 ist nämlich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für das Verhältnis zwischen den übrigen EU-Mitgliedstaaten und der Schweiz) nicht der Fall ist. Gemäss Art. 40 der Verordnung Nr. 574/72 hat der Träger eines Mitgliedstaates aber bei der Bemessung des Grades der Erwerbsminderung die von den Trägern der anderen Staaten erhaltenen ärztlichen Unterlagen und Berichte sowie die verwaltungsmässigen Auskünfte zu berücksichtigen. Jeder Träger behält jedoch die Möglichkeit, durch einen Arzt oder eine Ärztin seiner Wahl die antragstellende Person untersuchen zu lassen.</w:t>
      </w:r>
    </w:p>
    <w:p>
      <w:r>
        <w:rPr>
          <w:b/>
        </w:rPr>
        <w:t>E. 4</w:t>
      </w:r>
    </w:p>
    <w:p>
      <w:r>
        <w:t>Unbestritten ist, dass der Beschwerdeführer in seiner bisherigen Tätigkeit als CNC-Maschinist nicht mehr arbeitsfähig ist. Streitig ist jedoch die Arbeitsfähigkeit in einer leidensangepassten Tätigkeit.</w:t>
      </w:r>
    </w:p>
    <w:p>
      <w:r>
        <w:rPr>
          <w:b/>
        </w:rPr>
        <w:t>E. 4.1</w:t>
      </w:r>
    </w:p>
    <w:p>
      <w:r>
        <w:t>Dr. B._______ führt in seinem Bericht vom 23. November 2005 (IV-Akt. 55) als Diagnosen mit Auswirkung auf die Arbeitsfähigkeit ein chronisches Wirbelsäulensyndrom und eine Omarthrose auf, unter Diagnosen ohne Auswirkung auf die Arbeitsfähigkeit folgen Beckenschiefstand und Varikosis. Der Versicherte sei in seinem Beruf als CNC-Maschinist nicht mehr arbeitsfähig, weil die Tätigkeit ausschliesslich stehend verrichtet werden müsse und den Rücken häufig belaste. Eine leichte Arbeit mit wechselnder Körperposition (Wechsel zwischen Sitzen, Gehen und Stehen, ohne Heben von Gegenständen über zehn Kilogramm) wäre während acht Stunden pro Tag möglich. Als angezeigt bezeichnete er berufliche Massnahmen, nicht aber weitere medizinische Abklärungen. Im Kurzattest vom 3. Mai 2006 bestätigt Dr. B._______, der Beschwerdeführer sei weiterhin zu 100% arbeitsunfähig und derzeit seien auch leichte Tätigkeiten nicht zu verrichten (IV-Akt. 69). Im Bericht von Dr. A._______, Vertrauensärztin der Deutschen Rentenversicherung Baden-Württemberg, vom 12. Oktober 2005 (IV-Akt. 52 und 61) werden folgende Diagnosen aufgeführt: Chronisches Lumbalsyndrom mit rezidivierendem sensiblem Wurzelreizsyndrom L4 links bei fortgeschrittenen degenerativen Veränderungen der unteren LWS und Bandscheibenprotrusion L4/5 und L5/S1 sowie knöchern eingeengten Neuroforamina vor allem bei L4/5 links; Fortgeschrittene Osteoporose; Arthrose der Ileosakralgelenke; Impingement-Syndrom rechtes Schultergelenk; Hypotone Kreislaufdysregulation; Supraventriculäre Extrasystolie; Massive rechtsbetonte Stammvaricosis bds. mit schweren trophischen Störungen der Haut beider Unterschenkel; Klinische Hinweise für arterielle Durchblutungsstörungen im rechten Bein bei röntgenologisch nachgewiesener altersüberschreitender Arteriosklerose; Hypercholesterinämie, Nikotinabusus. Aus der zusammenfassenden Beurteilung geht hervor, dass der Versicherte stark untergewichtig und muskelschwach sei und um gut fünf Jahre vorgealtert wirke. Im Vordergrund stünden chronische Schmerzen der LWS bei fortgeschrittenen degenerativen Veränderungen sowie Bandscheibenprotrusionen und eine ausgeprägte Osteoporose. Die LWS sei erheblich funktionseingeschränkt und nur noch wenig belastbar. Dies treffe auch für das rechte Schultergelenk zu, bei arthrotischen Veränderungen und Läsion der Rotatorenmanschette mit anhaltender Teilsteife des Gelenkes. Weitere Funktionseinschränkungen seien durch die rechtsbetonte massive Varicosis beider Beine und durch beginnende periphere Durchblutungsstörungen des rechten Beines bei altersüberschreitender Arteriosklerose gegeben. Der Versicherte sei weder in seiner bisherigen Tätigkeit als CNC-Maschinist, noch in einer anderen Tätigkeit arbeitsfähig. Eine Verbesserung der Leistungsfähigkeit sei durch Reha-Massnahmen nicht möglich. Im Weiteren enthalten die Akten verschiedene Kurzberichte von Fachärzten unterschiedlicher Fachrichtungen (insbesondere Orthopädie, Neurologie und Psychiatrie, Phlebologie, Kardiologie; IV-Akt. 52 und 61), welche in der Regel als Berichte an den Hausarzt gerichtet wurden und keine Angaben dazu enthalten, ob bzw. für welche Tätigkeiten der Beschwerdeführer aus medizinischer Sicht arbeitsunfähig ist. Für die Beurteilung der Arbeitsfähigkeit in einer leidensangepassten Tätigkeit sind sie deshalb nicht aussagekräftig.</w:t>
      </w:r>
    </w:p>
    <w:p>
      <w:r>
        <w:rPr>
          <w:b/>
        </w:rPr>
        <w:t>E. 4.2</w:t>
      </w:r>
    </w:p>
    <w:p>
      <w:r>
        <w:t>Die IV-Stellen müssen über die notwendigen Dienste verfügen, damit sie ihre Aufgabe gemäss Art. 57 IVG fachgerecht und beförderlich durchführen können (Art. 59 Abs. 1 IVG). Zur Beurteilung der medizinischen Anspruchsvoraussetzungen stehen den IV-Stellen interdisziplinär zusammengesetzte regionale ärztliche Dienste (RAD) zur Verfügung (Art. 59 Abs. 2 Satz 1 IVG). Die Aufgaben des RAD werden durch Art. 49 IVV konkretisiert. Nach dessen Abs. 1 prüft der RAD die medizinischen Anspruchsvoraussetzungen. Gemäss Abs. 3 stellen die RAD den IV-Stellen für jeden geprüften Fall einen schriftlichen Bericht mit den notwendigen Angaben zu. Dieser enthält die Ergebnisse der medizinischen Prüfung und eine Empfehlung zur weiteren Bearbeitung des Leistungsbegehrens aus medizinischer Sicht. Gemäss dem Kreisschreiben über das Verfahren in der Invalidenversicherung (KSVI, in der bis Ende 2007 gültigen Fassung) des Bundesamtes für Sozialversicherungen (BSV) hat die IV-Stelle - abgesehen von den in Anhang V KSVI aufgelisteten Ausnahmen - das medizinische Dossier obligatorisch dem RAD vorzulegen (KSVI Rz. 2038). Weshalb die IV-Stelle im vorliegenden Fall darauf verzichtet hat, das Dossier dem RAD vorzulegen, geht aus den Akten nicht hervor. Da zwei, im Auftrag eines Versicherungsträgers erstellte, medizinische Stellungnahmen vorliegen, welche die Arbeitsfähigkeit des Beschwerdeführers in einer leidensangepassten Tätigkeit ganz unterschiedlich beurteilen, und zudem die vielen spezialärztlichen Berichte einer medizinischen Würdigung bedurft hätten, wiegt dieser Mangel besonders schwer. Denn in diesen Fällen ist die Aufgabe des RAD, den medizinischen Sachverhalt - zu Handen der Verwaltung - zusammenzufassen und zu würdigen, von besonderer Bedeutung.</w:t>
      </w:r>
    </w:p>
    <w:p>
      <w:r>
        <w:rPr>
          <w:b/>
        </w:rPr>
        <w:t>E. 4.3</w:t>
      </w:r>
    </w:p>
    <w:p>
      <w:r>
        <w:t>Die IV-Stelle hat allein auf den von ihr eingeholten Bericht des behandelnden Arztes (vom 23. November 2005) abgestellt. Im Einspracheentscheid verweist sie zwar ergänzend auf die medizinischen Akten der SUVA. Daraus lässt sich aber für die Beurteilung der Arbeitsfähigkeit nichts entnehmen, weil der SUVA-Kreisarzt im Bericht vom 27. April 2005 (IV-Akt. 47) lediglich zur Frage der Unfallkausalität Stellung nahm und darauf hinwies, die LWS-Problematik sei wahrscheinlich durch degenerative Veränderungen verursacht und somit unfallfremd. Die IV-Stelle begründet aber in keiner Weise, weshalb sie nicht der Einschätzung von Frau Dr. A._______ folgt. Letztlich bleibt unklar, ob sie diesen Bericht überhaupt zur Kenntnis genommen hat. Damit hat sie nicht nur den Grundsatz der freien Beweiswürdigung verletzt, sondern auch Art. 40 der Verordnung Nr. 574/72 missachtet, wonach der Träger eines Mitgliedstaates die von den Trägern der anderen Staaten erhaltenen ärztlichen Unterlagen und Berichte zu berücksichtigen hat.</w:t>
      </w:r>
    </w:p>
    <w:p>
      <w:r>
        <w:rPr>
          <w:b/>
        </w:rPr>
        <w:t>E. 4.4</w:t>
      </w:r>
    </w:p>
    <w:p>
      <w:r>
        <w:t>Die beiden sich widersprechenden Berichte von Dr. B._______ und Dr. A._______ genügen den Anforderungen an eine beweiskräftige medizinische Expertise nicht (siehe E. 3.7). Insbesondere wurden sie unabhängig voneinander erstellt, eine Auseinandersetzung mit den divergierenden Einschätzungen (hinsichtlich Schweregrad der Krankheiten und deren Auswirkungen auf die Arbeitsfähigkeit) enthalten deshalb beide Berichte nicht. Aus dem Bericht von Frau Dr. A._______ geht zudem nicht hervor, ob und gegebenenfalls welche medizinischen Vorakten ihr zur Verfügung standen. Der Kurzbericht von Dr. B._______ ist nicht darauf ausgerichtet, die medizinischen Zusammenhänge, seine Beurteilung der medizinischen Situation und die daraus gezogenen Schlussfolgerungen so darzulegen, dass seine Einschätzung den rechtsanwendenden Behörden einleuchten und ihnen gleichzeitig ein kritisches Nachvollziehen ermöglichen soll. Die beiden Berichte von Dr. B._______ und von Dr. A._______ sind deshalb weder vollständig noch nachvollziehbar. Eine rechtskonforme Beurteilung der Arbeits(un)fähigkeit in einer zumutbaren Tätigkeit (Art. 6 ATSG) als Voraussetzung eines Rentenanspruchs ist aufgrund der vorliegenden Akten nicht möglich.</w:t>
      </w:r>
    </w:p>
    <w:p>
      <w:r>
        <w:rPr>
          <w:b/>
        </w:rPr>
        <w:t>E. 4.5</w:t>
      </w:r>
    </w:p>
    <w:p>
      <w:r>
        <w:t>Im sozialversicherungsrechtlichen Verwaltungs- und Verwaltungsgerichtsbeschwerdeverfahren gilt der Untersuchungsgrundsatz. Danach haben Versicherungsträger und Sozialversicherungsgericht von sich aus und ohne Bindung an die Parteibegehren für die richtige und vollständige Feststellung des rechtserheblichen Sachverhaltes zu sorgen (BGE 125 V 193 E. 2, BGE 122 V 157 E. 1a). Nach der Rechtsprechung verletzt das erstinstanzliche Sozialversicherungsgericht weder den Untersuchungsgrundsatz noch das Gebot eines einfachen und raschen Verfahrens, wenn es aufgrund einer festgestellten Abklärungsbedürftigkeit die Sache an die Verwaltung zurückweist (BGE 122 V 157 E. 1d; RKUV 1999 Nr. U 342 S. 410 mit Hinweisen).</w:t>
      </w:r>
    </w:p>
    <w:p>
      <w:r>
        <w:rPr>
          <w:b/>
        </w:rPr>
        <w:t>E. 4.6</w:t>
      </w:r>
    </w:p>
    <w:p>
      <w:r>
        <w:t>Angesichts der im vorliegenden Fall festgestellten Abklärungsbedürftigkeit in medizinischer Hinsicht, ist die Sache an die Vorinstanz zurückzuweisen, damit diese - unter Einbezug der gemäss Art. 40 Abs. 2 IVV zuständigen IV-Stelle und des RAD - die erforderlichen Abklärungen vornehme und anschliessend über den Rentenanspruch des Beschwerdeführers neu verfüge. In diesem Sinne ist die Beschwerde gutzuheissen und der Einspracheentscheid vom 15. November 2006 aufzuheben.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 führenden Partei (BGE 132 V 215 E. 6). Den Vorinstanzen werden jedoch keine Verfahrenskosten auferlegt (Art. 63 Abs. 2 VwVG).</w:t>
      </w:r>
    </w:p>
    <w:p>
      <w:r>
        <w:rPr>
          <w:b/>
        </w:rPr>
        <w:t>E. 5.2</w:t>
      </w:r>
    </w:p>
    <w:p>
      <w:r>
        <w:t>Der obsiegenden Partei kann von Amtes wegen oder auf Begehren eine Entschädigung für ihr erwachsene notwendige und verhältnismässig hohe Kosten zugesprochen werden (Art. 64 Abs. 1 VwVG). Da dem Beschwerdeführer, der insbesondere nicht anwaltlich vertreten ist, keine unverhältnismässig grossen Kosten entstanden sind und er zu Recht auch keinen entsprechenden Antrag gestellt hat, ist keine Parteientschädigung zuzusprechen (vgl. auch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