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C-3096/2013 vom 17. Februar 2014</w:t>
      </w:r>
    </w:p>
    <w:p>
      <w:r>
        <w:t>Bundesverwaltungsgericht, 2014-02-17, DE</w:t>
      </w:r>
    </w:p>
    <w:p>
      <w:r>
        <w:rPr>
          <w:b/>
        </w:rPr>
        <w:t xml:space="preserve">Quelle: </w:t>
      </w:r>
      <w:r>
        <w:t>https://mcp.opencaselaw.ch/entscheid/bvger_C-3096_2013</w:t>
      </w:r>
    </w:p>
    <w:p>
      <w:r>
        <w:t>FR: TAF C-3096/2013 du 17 février 2014</w:t>
      </w:r>
    </w:p>
    <w:p>
      <w:r>
        <w:t>IT: TAF C-3096/2013 del 17 febbraio 2014</w:t>
      </w:r>
    </w:p>
    <w:p>
      <w:pPr>
        <w:pStyle w:val="Heading2"/>
      </w:pPr>
      <w:r>
        <w:t>Regeste</w:t>
      </w:r>
    </w:p>
    <w:p>
      <w:r>
        <w:t>Rückforderung von Versicherungsleistungen und Erlass</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Als Adressat des angefochtenen Einspracheentscheids und als Empfänger der Kinderrente ist der Beschwerdeführer vom Entscheid berührt und hat ein schutzwürdiges Interesse an dessen Aufhebung oder Änderung, sodass er gemäss Art. 59 ATSG beschwerdelegitimiert ist. Im Übrigen ist der Beschwerdeführer gemäss dem Betreuerausweis für seinen Sohn A._______ vom 28. März 2011 rechtlich bevollmächtigt, ihn im Gerichtsverfahren zu vertreten (Vorakten 73).</w:t>
      </w:r>
    </w:p>
    <w:p>
      <w:r>
        <w:rPr>
          <w:b/>
        </w:rPr>
        <w:t>E. 1.4</w:t>
      </w:r>
    </w:p>
    <w:p>
      <w:r>
        <w:t>Da die Beschwerde frist- und formgerecht erhoben wurde (vgl. Art. 60 Abs. 1 ATSG und Art. 52 Abs. 1 VwVG), ist darauf einzutreten.</w:t>
      </w:r>
    </w:p>
    <w:p>
      <w:r>
        <w:rPr>
          <w:b/>
        </w:rPr>
        <w:t>E. 2.1</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(vgl. u.a. Fritz Gygi, Bundesverwaltungsrechtspflege, 2. Aufl., Bern 1983, S. 46, Alfred Kölz/Isabelle Häner/Martin Bertschi, Verwaltungsverfahren und Verwaltungsrechtspflege des Bundes, 3. Aufl., Zürich/ Basel/Genf 2013, Rz. 687 und 861 ff.). Das sinngemässe Rechtsbegehren des Beschwerdeführers, aufgrund des Vorliegens einer Härte, sei ihm bei Abweisung der Beschwerde die Rückzahlung zu erlassen, kann nicht gehört werden, da die Vorinstanz in der angefochtenen Einspracheverfügung vom 18. April 2013 nicht über den Erlass der Rückerstattung entschieden hat. Ein allfälliges Gesuch um Erlass der Rückerstattung der ohne Rechtsanspruch geleisteten Renten kann innert 30 Tagen nach Rechtskraft der Rückforderungsverfügung bzw. dieses Urteils schriftlich begründet und mit den nötigen Belegen bei der Vorinstanz eingereicht werden (vgl. Art. 4 Abs. 4 der Verordnung vom 11. September 2002 über den Allgemeinen Teil des Sozialversicherungsrechts [ATSV, SR 830.11] und Urteil des Bundesverwaltungsgerichts C-4587/2008 vom 26. Mai 2010 E. 3.2).</w:t>
      </w:r>
    </w:p>
    <w:p>
      <w:r>
        <w:rPr>
          <w:b/>
        </w:rPr>
        <w:t>E. 2.2</w:t>
      </w:r>
    </w:p>
    <w:p>
      <w:r>
        <w:t>Der Beschwerdeführer und sein Sohn A._______ sind deutsche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Soweit das FZA keine abweichenden Bestimmungen vorsieht, erfolgt mangels einer einschlägigen gemeinschafts- bzw. abkommensrechtlichen Regelung die Ausgestaltung des Verfahrens sowie die Prüfung der Zulässigkeit der Einstellung der Kinderrente nach schweizerischem Recht.</w:t>
      </w:r>
    </w:p>
    <w:p>
      <w:r>
        <w:rPr>
          <w:b/>
        </w:rPr>
        <w:t>E. 3</w:t>
      </w:r>
    </w:p>
    <w:p>
      <w:r>
        <w:t>Streitig ist, ob die Ausbildung des Sohnes des Beschwerdeführers A._______ in der S._______-Schule ab Juli 2011 bis Juli 2012 als Ausbildungszeit anzuerkennen ist, demnach ein Anspruch auf eine Kinderrente gemäss Art. 22ter Abs. 1 i.V.m. Art. 25 Abs. 5 AHVG besteht und die von Juli 2011 bis April 2012 bereits bezogenen Kinderrenten in Gesamthöhe von Fr. 260.- nicht zurückzuerstatten sind.</w:t>
      </w:r>
    </w:p>
    <w:p>
      <w:r>
        <w:rPr>
          <w:b/>
        </w:rPr>
        <w:t>E. 4</w:t>
      </w:r>
    </w:p>
    <w:p>
      <w:r>
        <w:t>Zunächst sind die für die Beurteilung des Begehrens massgebenden gesetzlichen Grundlagen und die von der Rechtsprechung entwickelten Grundsätze darzulegen.</w:t>
      </w:r>
    </w:p>
    <w:p>
      <w:r>
        <w:rPr>
          <w:b/>
        </w:rPr>
        <w:t>E. 4.1</w:t>
      </w:r>
    </w:p>
    <w:p>
      <w:r>
        <w:t>Personen, welchen eine Altersrente zusteht, haben für jedes Kind, das im Falle ihres Todes eine Waisenrente beanspruchen könnte, Anspruch auf eine Kinderrente (Art. 22ter Abs. 1 Satz 1 AHVG). 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(Art. 24 Abs. 5 AHVG). Ein Anspruch auf eine Kinderrente als Zusatzrente zu einer Altersrente über das vollendete 18. Altersjahr bis zum vollendeten 25. Altersjahr besteht somit im Falle des Beschwerdeführers nur dann und solange, als das Kind noch in Ausbildung ist.</w:t>
      </w:r>
    </w:p>
    <w:p>
      <w:r>
        <w:rPr>
          <w:b/>
        </w:rPr>
        <w:t>E. 4.2</w:t>
      </w:r>
    </w:p>
    <w:p>
      <w:r>
        <w:t>Gemäss Art. 49bis Abs. 1 der der Verordnung über die Alters- und Hinterlassenenversicherung (AHVV; SR 831.101)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Gemäss Lehre und Rechtsprechung kann der gesetzliche Begriff der Ausbildung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Alters- und Hinterlassenenversicherung, Rechtsprechung des Bundesgerichts zum Sozialversicherungsrecht, Erwin Murer/ Hans-Ulrich Stauffer [Hrsg.], Zürich/Basel/Genf 2012, 3. Aufl., Art. 25 Rz. 6 mit Hinweisen; Urteile des Bundesverwaltungsgerichts C-695/2010 vom 17. Dezember 2012, C-5865/2011 vom 31. Oktober 2012 E. 3.3, C-7916/2010 vom 27. September 2012 E. 3.3, C-6567/2009 vom 17. September 2010 E. 4.3 und C-3062/2010 vom 13. September 2010 E. 4.3).</w:t>
      </w:r>
    </w:p>
    <w:p>
      <w:r>
        <w:rPr>
          <w:b/>
        </w:rPr>
        <w:t>E. 4.3</w:t>
      </w:r>
    </w:p>
    <w:p>
      <w:r>
        <w:t>Die vom Gesetzgeber genannte Ausbildung zielt darauf ab, die berufliche Ausbildung zu fördern (vgl. BGE 139 V 122 E. 4.3) und den Bezüger einer Rente von zusätzlichen Beiträgen an die Ausbildung des eigenen Kindes bis zu dessen Eintritt in eine Erwerbstätigkeit zu entlasten, damit es später einer Erwerbstätigkeit nachgehen kann, die es ihm ermöglicht, den eigenen Le­bensunterhalt eigenständig zu verdienen. Allerdings ist dieses Ausbildungs­ziel auf eine Tätigkeit im ersten Arbeitsmarkt ausgerichtet (vgl. Urteil des Bundesverwaltungsgerichts C-8867/2010 vom 6. November 2013). Das volljährige Kind eines invaliden (bzw. eine Altersrente beziehenden) Elternteils soll durch die Invalidität seines Vaters oder seiner Mutter (bzw. weil sein Vater oder seine Mutter kein Erwerbseinkommen mehr bezieht) in seinem beruflichen Weiterkommen nicht behindert sein. Liegt - über die Ausbildung in der obligatorischen Schulzeit hinaus - keine Ausbildung vor, die auf eine den eigenen Lebensunterhalt ermöglichende Erwerbstätigkeit hinzielt oder im Sinne einer Überbrückung die Aufnahme einer solchen Tätigkeit ermöglicht, liegt keine Ausbildung im Sinne von Art. 25 Abs. 5 AHVG vor.</w:t>
      </w:r>
    </w:p>
    <w:p>
      <w:r>
        <w:rPr>
          <w:b/>
        </w:rPr>
        <w:t>E. 5</w:t>
      </w:r>
    </w:p>
    <w:p>
      <w:r>
        <w:t>Im Folgenden ist demnach zu prüfen, ob die Ausbildung an der S._______-Schule, Förderschwerpunkt "geistige Entwicklung", welche der Sohn des Beschwerdeführers A._______ besucht, darauf hinzielt, die Schüler in die Lage zu versetzen, ihren Lebensunterhalt im ersten Arbeitsmarkt selbstständig zu bestreiten und somit eine Ausbildung im Sinne von Art. 25 Abs. 5 AHVG und Art. 49bis AHVV vorliegt.</w:t>
      </w:r>
    </w:p>
    <w:p>
      <w:r>
        <w:rPr>
          <w:b/>
        </w:rPr>
        <w:t>E. 5.1</w:t>
      </w:r>
    </w:p>
    <w:p>
      <w:r>
        <w:t>Der Homepage der S._______-Schule ist zu entnehmen (vgl. http://www.S._______-schule.cidsnet.de/dassindwir/Schulprogramm%20 Fortschreibung%203.%20Fassung%20_Juli%202006.pdf), dass das Ziel der Ausbildung die Förderung insbesondere die Entwicklung von kognitiven, kommunikativen, sprachlichen, senso- und psychomotorischen, emotionalen und sozialen Fähigkeiten, einschließlich der Ausformung von lebenspraktisch orientierten Kulturtechniken ist, um den Schülerinnen und Schülern ein aktives Leben in sozialer Integration und die selbstbe­stimmte Entfaltung ihrer Persönlichkeit zu ermöglichen. Im Weiteren sollen die Sozial- und Ich-Kompetenzen gestärkt werden. In der Abschlussstufe werden die Schüler auf ihr zukünftiges Berufsleben vorbereitet, was in der Regel ein geschützter Arbeitsplatz in einer Werkstatt ist.</w:t>
      </w:r>
    </w:p>
    <w:p>
      <w:r>
        <w:rPr>
          <w:b/>
        </w:rPr>
        <w:t>E. 5.2</w:t>
      </w:r>
    </w:p>
    <w:p>
      <w:r>
        <w:t>Der Schulleiter der S._______-Schule bestätigte, dass die absolvierte Ausbildung A._______ nicht dazu befähige, auf dem primären Arbeitsmarkt eine Anstellung zu finden, sondern allenfalls unter Anleitung in einer Werkstatt für behinderte Menschen arbeiten zu können (Vorakten 95).</w:t>
      </w:r>
    </w:p>
    <w:p>
      <w:r>
        <w:rPr>
          <w:b/>
        </w:rPr>
        <w:t>E. 5.3</w:t>
      </w:r>
    </w:p>
    <w:p>
      <w:r>
        <w:t>Der Beschwerdeführer bestreitet nicht, dass die Ausbildung an der S._______-Schule A._______ nicht auf eine Anstellung im primären Arbeitsmarkt vorbereitet sondern auf die Tätigkeit in einer geschützten Werkstatt, hielt er doch fest, trotz Anstrengungen seinerseits seinen Sohn nicht zu einem Praktikum in einer Werkstatt für behinderte Menschen habe bewegen können.</w:t>
      </w:r>
    </w:p>
    <w:p>
      <w:r>
        <w:rPr>
          <w:b/>
        </w:rPr>
        <w:t>E. 5.4</w:t>
      </w:r>
    </w:p>
    <w:p>
      <w:r>
        <w:t>Gestützt auf die Eintragungen auf der Homepage, der Auskunft der S._______-Schule und den Ausführungen des Beschwerdeführer handelt es sich bei der Ausbildung an der S._______-Schule somit nicht um die Vorbereitung auf die Anstellung auf dem primären Arbeitsmarkt sondern auf die Arbeit an einem geschützten Arbeitsplatz in einer Werkstatt. Damit handelt es sich beim Angebot der S._______-Schule nicht um eine Ausbildung im Sinne von Art. 25 Abs. 5 AHVG und Art. 49bis AHVV. Die Ausbildung für die Tätigkeit an einem geschützten Arbeitsplatz berechtigt nicht zum Bezug einer Kinderrente (vgl. hierzu auch Urteil des Bundesverwaltungsgerichts C-8867/2010 vom 6. November 2013).</w:t>
      </w:r>
    </w:p>
    <w:p>
      <w:r>
        <w:rPr>
          <w:b/>
        </w:rPr>
        <w:t>E. 5.5</w:t>
      </w:r>
    </w:p>
    <w:p>
      <w:r>
        <w:t>Der Beschwerdeführer brachte vor, es könne nicht sein, dass sein Sohn wegen seiner Behinderung keine Unterstützung vom Schweizer Staat erhalten würde. Im angefochtenen Einspracheentscheid steht wie erwähnt einzig der Leistungsanspruch des Beschwerdeführers auf eine Kinderrente für seinen Sohn A._______ zur Diskussion. Ob letzterer allenfalls eigene Leistungsansprüche geltend machen könnte, kann vorliegend offen bleiben.</w:t>
      </w:r>
    </w:p>
    <w:p>
      <w:r>
        <w:rPr>
          <w:b/>
        </w:rPr>
        <w:t>E. 6</w:t>
      </w:r>
    </w:p>
    <w:p>
      <w:r>
        <w:t>Zusammenfassend lässt sich der angefochtene Einspracheentscheid der Vorinstanz vom 18. April 2013 nicht beanstanden. Demgegenüber erweist sich die Beschwerde als unbegründet, weshalb sie im einzelrichterlichen Verfahren abzuweisen ist (Art. 85bis Abs. 3 AHVG).</w:t>
      </w:r>
    </w:p>
    <w:p>
      <w:r>
        <w:rPr>
          <w:b/>
        </w:rPr>
        <w:t>E. 7</w:t>
      </w:r>
    </w:p>
    <w:p>
      <w:r>
        <w:t>Das Verfahren ist für die Parteien kostenlos (Art. 85bis Abs. 2 AHVG), sodass keine Verfahrenskosten zu erheben sind. Weder die obsiegende Vorinstanz noch der unterliegende Beschwerdeführer haben Anspruch auf eine Parteientschädigung (Art. 7 Abs. 3 des Reglements vom 21. Februar 2008 über die Kosten und Entschädigungen vor dem Bundesverwaltungsgericht [VGKE, SR 173.320.2] und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