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C-3092/2012 vom 2. November 2012</w:t>
      </w:r>
    </w:p>
    <w:p>
      <w:r>
        <w:t>Bundesverwaltungsgericht, 2012-11-02, DE</w:t>
      </w:r>
    </w:p>
    <w:p>
      <w:r>
        <w:rPr>
          <w:b/>
        </w:rPr>
        <w:t xml:space="preserve">Quelle: </w:t>
      </w:r>
      <w:r>
        <w:t>https://mcp.opencaselaw.ch/entscheid/bvger_C-3092_2012</w:t>
      </w:r>
    </w:p>
    <w:p>
      <w:r>
        <w:t>FR: TAF C-3092/2012 du 2 novembre 2012</w:t>
      </w:r>
    </w:p>
    <w:p>
      <w:r>
        <w:t>IT: TAF C-3092/2012 del 2 novembre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A-2682/2007 vom 7. Oktober 2010 E. 1.2 und 1.3). 3.Der angefochtenen Verfügung liegt das Gesuch einer thailändischen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 4.Die Voraussetzungen für die Erteilung eines Visums präsentieren sich im Anwendungsbereich der 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 4.2 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Thailand zu diesen Staaten zählt, unterliegt die Gesuchstellerin der Visumspflicht.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Die Gesuchstellerin stammt aus Thailand. Die Wirtschaft dieses Landes hat sich von der internationalen Wirtschaftskrise deutlich erholt. Die Sicherung eines "Wachstums für alle" und die Vollendung der ASEAN Wirtschaftsgemeinschaft 2015 stehen für die seit August 2011 amtierende Regierung unter Premierministerin Yingluck Shinawatra im Vordergrund. 2010 hatte die thailändische Wirtschaft - unbeeindruckt von den innenpolitischen Konflikten - mit einem Wachstum des Bruttoinlandsprodukts von 7,8 Prozent eine bemerkenswerte Erholung erlebt. Hauptgrund dafür war die stark anziehende Exportnachfrage aus den Hauptabnehmerländern (ASEAN, Japan, China, EU, USA). In den ersten drei Quartalen des Jahres 2011 konnte sich die thailändische Wirtschaft trotz abgeschwächter Weltkonjunktur und Schuldenkrise in der EU gut behaupten. Aufgrund der Hochwasserkatastrophe im Oktober brach jedoch das Wachstum im 4. Quartal um über 10 Prozent ein. Für das ganze Jahr schrumpfte der BIP-Zuwachs auf 0,1 Prozent. Hauptträger des Wachstums war der Exportsektor (+ 16 Prozent). Die Prognose für 2012 geht von starken Investitionen der Regierung für den Katastrophenschutz und einer schnellen Erholung des Produktionsektors aus und liegt zwischen 5,5 und über 6 Prozent. Die offizielle Arbeitslosigkeit liegt bei niedrigen 0,7 Prozent. Die grundsätzlich ermutigende wirtschaftliche Entwicklung kann nicht über die Tatsache hinwegtäuschen, dass nach wie vor breite Bevölkerungsschichten von vergleichsweise schwierigen ökonomischen und sozialen Lebensbedingungen betroffen sind. Das Bruttoinlandprodukt (BIP) pro Kopf der Bevölkerung betrug im Jahre 2011 nämlich nur gerade 5'257 USD (Schweiz: rund 75'600 USD; Quellen: &lt;www.auswaertiges-amt.de&gt;, Reise und Sicherheit &gt; Reise- und Sicherheitshinweise: Länder A-Z &gt; Thailand: Reise- und Sicherheitshinweise &gt; Wirtschaft, Stand: März 2012, besucht im September 2012) und www.bfs.admin.ch, 04 - Volkswirtschaft &gt; Bruttoinlandprodukt &gt; Das BIP pro Einwohner &gt; Bruttoinlandprodukt pro Einwohner &gt; 2010, Stand: 29. Juni 2012, besucht im September 2012).</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Die Gesuchstellerin ist eine bald 30-jährige, unverheiratete Frau, welche nach Angaben des Beschwerdeführers zusammen mit ihrem dreijährigen Sohn in A._______ lebt und Teilhaberin eines Post Shops ist. Der Umstand, dass die Gesuchstellerin Mutter eines Kleinkindes ist, lässt zwar auf familiäre Verpflichtungen ihrerseits schliessen. Es ist jedoch nicht davon auszugehen, das dreijährige Kind sei zwingend auf die Betreuung durch die Gesuchstellerin angewiesen. Dagegen spricht nicht zuletzt die Dauer der geplanten Abwesenheit von drei Monaten. Im Übrigen ist den Akten zu entnehmen, dass das Kind während des Auslandaufenthaltes der Gesuchstellerin vom Kindsvater betreut würde. Vor diesem Hintergrund ist - entgegen den Ausführungen des Beschwerdeführers - nicht davon auszugehen, der Eingeladenen oblägen familiäre Verpflichtungen, die sie ernsthaft von einer Emigration abzuhalten vermöchten. Sodann kann eine Trennung von Familienangehörigen auch von der Hoffnung gesteuert sein, diese aus dem Ausland besser zu unterstützen und allenfalls später nachziehen zu können.</w:t>
      </w:r>
    </w:p>
    <w:p>
      <w:r>
        <w:rPr>
          <w:b/>
        </w:rPr>
        <w:t>E. 6.2</w:t>
      </w:r>
    </w:p>
    <w:p>
      <w:r>
        <w:t>Den Akten ist zu entnehmen, dass die Gesuchstellerin seit dem 21. Januar 2011 Gesellschafterin eines Post-Shops ist. Das von ihr investierte Kapital beträgt THB 400'000. Die anderen zwei Gesellschafter des Post-Shops besitzen zusammen THB 1'600'000. Das monatliche Einkommen der Gesuchstellerin beträgt THB 20'000.-- (entspricht rund Fr. 600.--). Ihr Kontostand wies am 30. Januar 2012 einen Betrag von THB 159'900.-- auf. Den Kontoauszügen des Beschwerdeführers ist zu entnehmen, dass er der Gesuchstellerin in der zweiten Hälfte des Jahres 2011 insgesamt rund Fr. 17'500.-- überwiesen hat, was einem Betrag von rund THB 569'500.-- entspricht. Rechnet man das investierte Kapital der Gesuchstellerin sowie den Kontostand vom 30. Januar 2012 zusammen, so entspricht die Summe in etwa dem Betrag, den der Beschwerdeführer der Gesuchstellerin überwiesen hat. Dies lässt die Vermutung zu, dass die Gesuchstellerin in ihrem Heimatland lediglich mit Hilfe des Beschwerdeführers Gesellschafterin eines Post-Shops werden konnte. Angesichts der geplanten dreimonatigen Landesabwesenheit kann nicht darauf geschlossen werden, dass die Präsenz der Gesuchstellerin für den Post-Shop unverzichtbar ist. In der Beschwerde wird denn auch darauf hingewiesen, während der Abwesenheit der Gesuchstellerin würden die Angestellten des Post Shops die anfallende Arbeit verrichten und eine Stellvertreterin übernehme Entscheidungen rechtlicher Natur. Vor diesem Hintergrund sowie angesichts des vorgesehenen dreimonatigen Auslandaufenthaltes, der vom Gastgeber finanziert würde, ist nicht anzunehmen, die Gesuchstellerin verfüge tatsächlich über eine massgebliche berufliche Verankerung bzw. eine gesicherte wirtschaftliche Existenz in ihrem Heimatland, welche die Gefahr eines Verbleibens in der Schweiz bzw. im Schengen-Raum über den deklarierten Zeitraum hinaus als unwahrscheinlich erscheinen liesse, könnte sie doch das in den Post-Shop investiertes Kapital von THB 400'000.-- jederzeit ablösen.</w:t>
      </w:r>
    </w:p>
    <w:p>
      <w:r>
        <w:rPr>
          <w:b/>
        </w:rPr>
        <w:t>E. 6.3</w:t>
      </w:r>
    </w:p>
    <w:p>
      <w:r>
        <w:t>Vor dem allgemeinen und persönlichen Hintergrund durfte die Vorinstanz demnach davon ausgehen, dass keine hinreichende Gewähr für eine fristgerechte und anstandslose Wiederausreise der Gesuchstellerin nach einem Besuchsaufenthalt besteht. Zwar lässt sich diese Prognose nicht zu einer gesicherten Feststellung verdichten; sie genügt jedoch, um die Erteilung einer Einreisebewilligung, auf welche ohnehin kein Rechtsanspruch besteht, abzulehnen.</w:t>
      </w:r>
    </w:p>
    <w:p>
      <w:r>
        <w:rPr>
          <w:b/>
        </w:rPr>
        <w:t>E. 6.4</w:t>
      </w:r>
    </w:p>
    <w:p>
      <w:r>
        <w:t>An der Richtigkeit dieser Einschätzung ändert auch die Tatsache nichts, dass der Beschwerdeführer die rechtzeitige Rückkehr der Gesuchstellerin zugesichert hat. Die Integrität des Beschwerdeführers in seiner Eigenschaft als Gastgeber wird auch gar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11. April 2012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In diesem Zusammenhang bleibt festzuhalten, dass er die Gesuchstellerin erst seit eineinhalb Jahren - von seinem Ferienaufenthalt in Thailand her - kennt. Bei dieser Sachlage wird selbst der Beschwerdeführer gewisse Vorbehalte anbringen müssen, wenn es darum geht, mögliche Entwicklungen in den Wünschen und Vorstellungen der (deutlich jüngeren) Gesuchstellerin betreffend ihre kurz- und mittelfristige Lebensgestaltung einschätzen zu können. 7.Aus vorstehenden Erwägungen folgt, dass die angefochtene Verfügung im Lichte von Art. 49 VwVG nicht zu beanstanden ist. Die Beschwerde ist daher abzuweisen. 8.Entsprechend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