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C-3088/2010 vom 24. Februar 2012</w:t>
      </w:r>
    </w:p>
    <w:p>
      <w:r>
        <w:t>Bundesverwaltungsgericht, 2012-02-24, DE</w:t>
      </w:r>
    </w:p>
    <w:p>
      <w:r>
        <w:rPr>
          <w:b/>
        </w:rPr>
        <w:t xml:space="preserve">Quelle: </w:t>
      </w:r>
      <w:r>
        <w:t>https://mcp.opencaselaw.ch/entscheid/bvger_C-3088_2010</w:t>
      </w:r>
    </w:p>
    <w:p>
      <w:r>
        <w:t>FR: TAF C-3088/2010 du 24 février 2012</w:t>
      </w:r>
    </w:p>
    <w:p>
      <w:r>
        <w:t>IT: TAF C-3088/2010 del 24 febbraio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 der angefochtenen Verfügung vom 22. März 2010 (act. 236) ist der Beschwerdeführer berührt und hat ein schutzwürdiges Interesse an deren Aufhebung oder Änderung (vgl. Art. 59 ATSG). Zusammenfassend ergibt sich, dass sämtliche Prozessvoraussetzungen erfüllt sind. Auf die Beschwerde ist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22. März 2010 (act. 236), mit welcher auf das dritte Neuanmeldungsgesuch des Beschwerdeführers vom 13. Mai 2009 (Eingangsstempel: 27. Mai 2009) nicht eingetreten wurde. Streitig und zu prüfen ist, ob die Vorinstanz auf dieses neue Leistungsgesuch hätte eintreten müssen und in diesem Zusammenhang insbesondere, ob sie den Sachverhalt rechtsgenüglich abgeklärt und gewürdigt hat (zum massgeblichen zeitlichen Vergleichszeitpunkt vgl. E. 2.6. letzter Absatz und E. 4. hiernach).</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Bürger von Kosovo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22. März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Vorbehältlich abweichender staatsvertraglicher Regelungen ist bei Personen mit Wohnsitz oder gewöhnlichem Aufenthalt im Ausland in diesem Zusammenhang eine Arbeitsunfähigkeit bzw. ein Invaliditätsgrad von 50 %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2.6</w:t>
      </w:r>
    </w:p>
    <w:p>
      <w:r>
        <w:t>Im Rahmen der Neuanmeldung nach rückwirkend befristeter Zusprechung einer Invalidenrente sind die Voraussetzungen gemäss Art. 87 Abs. 3 und 4 IVV zu berücksichtigen (Präzisierung der Rechtsprechung; BGE 133 V 263 E. 6). Diese Verordnungsbestimmungen besagen, dass - falls eine Rente wegen eines fehlenden oder zu geringen Invaliditätsgrades bereits einmal verweigert wurde - eine neue Anmeldung nur geprüft wird, wenn die versicherte Person glaubhaft macht, dass sich der Grad der Invalidität in einer für den Anspruch erheblichen Weise geändert hat (Art. 87 Abs. 3 und 4 IVV). Dies gilt in analoger Weise auch für Revisionsgesuche im Sinne von Art. 17 Abs. 1 ATSG (BGE 130 V 343 E. 3.5.3) sowie dann, wenn die versicherte Person nach vorausgegangener rechtskräftiger Ablehnung erneut eine Eingliederungsmassnahme beantragt (BGE 113 V 22 E. 3b;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108 E. 2b).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(BGE 130 V 64 E. 5.2.5).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AHI 1999 S. 84 E. 1b). Erfolgte nach einer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 bei einer weiteren Neuanmeldung entgegen halten lassen (vgl. BGE 130 V 71 E. 3.2.3).</w:t>
      </w:r>
    </w:p>
    <w:p>
      <w:r>
        <w:rPr>
          <w:b/>
        </w:rPr>
        <w:t>E. 2.7</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Bundesgerichts 9C_904/2009 vom 7. Juni 2010 E. 2.2 und Hinweise).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Betreffend die nach Erlass der angefochtenen Verfügung vom 22. März 2010 im Rahmen des hängigen Beschwerdeverfahrens eingegangenen ärztlichen Berichte (B-act. 1, 14, 15, 25 und 27) ist vorab festzustellen, dass das Bundesverwaltungsgericht die Gesetzmässigkeit der angefochtenen Verfügung in der Regel nach dem Sachverhalt beurteilt, der zur Zeit ihres Erlasses gegeben war. Tatsachen, die jenen Sachverhalt seither verändert haben, sollen im Normalfall Gegenstand einer neuen Ver­waltungsverfügung sein (BGE 130 V 138 E. 2.1, 121 V 362 E. 1b mit Hin-weis). Für die vorliegend allein interessierende Frage, ob die Vorinstanz in Anwendung von Art. 87 IVV auf die Neuanmeldung des Beschwerdeführers vom 13. Mai 2009 (Eingangsstempel: 27. Mai 2009) zu Recht wegen fehlender Glaubhaftmachung veränderter Tatsachen nicht eingetreten ist, sind die nach dem Verfügungszeitpunkt vom 22. März 2010 eingegangenen resp. verfassten ärztlichen Dokumente unbeachtlich (vgl. hierzu BGE 130 V 64 E. 5.2.5; Urteile des BGer 8C_288/2011 vom 5. Mai 2011 und 8C_196/2008 vom 5. Juni 2008 sowie Urteil des EVG I 734/05 vom 8. März 2006 E. 3.2). Diese können allenfalls Anlass für eine neuerliche materielle Rentenprüfung geben, weshalb sie an die Vorinstanz zu überweisen sind (vgl. auch E. 4.3 hiernach).</w:t>
      </w:r>
    </w:p>
    <w:p>
      <w:r>
        <w:rPr>
          <w:b/>
        </w:rPr>
        <w:t>E. 4</w:t>
      </w:r>
    </w:p>
    <w:p>
      <w:r>
        <w:t>Hinsichtlich der erheblichen zeitlichen Anknüpfungspunkte hat im vorliegenden Fall als letztmaliger, das Ergebnis einer rechtsgenüglichen materiellen Prüfung des Rentenanspruchs darstellender Rechtsakt der Einspracheentscheid der Vorinstanz vom 3. Oktober 2006 (act. 203), welcher vom Bundesverwaltungsgericht in dessen unangefochten in Rechtskraft erwachsenen Urteil vom 19. Dezember 2008 (act. 211) geschützt worden war, zu gelten. Zu beurteilen ist daher, ob der Beschwerdeführer für den Zeitraum zwischen dem Einspracheentscheid vom 3. Oktober 2006 und der vorliegend angefochtenen Nichteintretensverfügung vom 22. März 2010 glaubhaft gemacht hat, dass sich der Grad der Invalidität in einer für den Anspruch erheblichen Weise geändert hat (vgl. E. 2.6 1. Absatz hiervor).</w:t>
      </w:r>
    </w:p>
    <w:p>
      <w:r>
        <w:rPr>
          <w:b/>
        </w:rPr>
        <w:t>E. 4.1</w:t>
      </w:r>
    </w:p>
    <w:p>
      <w:r>
        <w:t>Der Einspracheentscheid der Vorinstanz vom 3. Oktober 2006 basierte in medizinischer Hinsicht insbesondere auf dem polydisziplinären Gutachten der C._______ von Dr. med. D._______ vom 16. Mai 2005 (act. 193) resp. dem darin enthaltenen Bericht vom diplomierten Physiotherapeuten E._______ vom 10. Mai 2005 über die Evaluation der funktionellen Leistungsfähigkeit (act. 190) sowie den weiteren integrierten Bestandteilen in Form des psychiatrisches und neurologischen Gutachten der Dres. med. F._______ und G._______ vom 11. und 12. Mai 2005 (act. 189 und 192; vgl. auch act. 191). Weiter dienten der Vorinstanz auch die Berichte der Dres. med. H._______ und I._______ vom 5. August 2005 (act. 196) und 19. September 2006 (act. 202) als wesentliche Entscheidgrundlage. Das Bundesverwaltungsgericht erwog in seinem Entscheid vom 19. Dezember 2008 (act. 211), das polydisziplinäre Gutachten der C._______ sei nachvollziehbar und schlüssig und erfülle die Anforderungen der Rechtsprechung an eine beweiskräftige medizinische Expertise (E. 4.2.1). In diesem Gutachten wurden keine Diagnosen mit Auswirkungen auf die Arbeits- und Leistungsfähigkeit gestellt. Ohne Auswirkungen auf die Arbeitsfähigkeit wurden die Diagnosen einer chronischen Lumboischialgie links (ICD-10: M54.4), eines Status nach einer Laminektomie L5-S1 links zur Beseitigung einer Diskushernie 1994 sowie einer Diskopathie L5-S1 gestellt. Die Gutachter wiesen auf eine erhebliche Diskrepanz zwischen den objektiven Befunden und den geklagten Beschwerden sowie auf Inkonsistenzen und eine Selbstlimitierung hin. Die Psychiaterin Dr. med. F._______ konnte beim Beschwerdeführer in psychiatrischer Hinsicht keine Krankheit und Komorbidität feststellen, weshalb sie ausführte, aus psychiatrischer Sicht bestehe keine längerdauernde Beeinträchtigung der Arbeitsfähigkeit. Aufgrund der Gesamtbeurteilung aus rheumatologischer, neurologischer und psychiatrischer Sicht attestierten die Experten dem Versicherten eine volle Arbeitsfähigkeit sowohl in seiner zuletzt ausgeübten Tätigkeit als Küchenhilfe als auch für die erlernte Arbeit als Kellner. Dr. med. H._______ hielt - wie später das Bundesverwaltungsgericht - in seiner Stellungnahme vom 5. August 2005 dafür, dass die Schlussfolgerungen des Expertenteams gut belegt und plausibel seien. Auch Dr. med. I._______ vertrat - nach Kenntnis weiterer ausländischer ärztlicher Dokumente, denen später vom Bundesverwaltungsgericht kein Beweiswert zugesprochen wurde - in seinem Bericht vom 19. September 2006 die Auffassung, dass an der bisherigen Beurteilung vorbehaltlos festzuhalten sei.</w:t>
      </w:r>
    </w:p>
    <w:p>
      <w:r>
        <w:rPr>
          <w:b/>
        </w:rPr>
        <w:t>E. 4.2.1</w:t>
      </w:r>
    </w:p>
    <w:p>
      <w:r>
        <w:t>Im Rahmen der angefochtenen Verfügung vom 22. März 2010 stützte sich die Vorinstanz im Wesentlichen auf die Stellungnahmen der Dres. med. I._______ und J._______ vom 21. November 2009 (act. 228) und 18. März 2010 (act. 235). Dr. med. I._______ führte zusammengefasst aus, der Versicherte mache weiterhin seine Lumbalgien geltend. Die Ärzte aus dem Kosovo hielten diesen - wiederum wie bereits früher - seit Jahren für arbeitsunfähig, obwohl dies bereits 2005 durch eine ausführliche Begutachtung in der Schweiz klar widerlegt worden sei. Es gebe keine neuen Aspekte; der Versicherte sei arbeitsfähig für leichte bis mittelschwere Arbeiten, so wie dies die Ärzte 2005 festhielten. Dr. med. J._______ berichtete nach Kenntnis der kosovarischen Berichte der Dres. med. K._______ und L._______ vom 19. und 22. Januar 2010 (act. 230 resp. 232 und 233) im Wesentlichen, insgesamt enthielten diese Dokumente nur Diagnosen ohne bedeutsame klinische objektive Beschreibung, welche mit den in den vorangegangenen Berichten der gleichen Ärzte identisch seien. Jene Berichte würden keine neuen Elemente und Argumente für eine Verschlechterung beinhalten, und der Zustand sei demjenigen, wie er bereits im Zeitpunkt von 2005 vorgelegenen habe, ähnlich. Die Schlussfolgerungen in den früheren Stellungnahmen seien nicht zu revidieren.</w:t>
      </w:r>
    </w:p>
    <w:p>
      <w:r>
        <w:rPr>
          <w:b/>
        </w:rPr>
        <w:t>E. 4.2.2</w:t>
      </w:r>
    </w:p>
    <w:p>
      <w:r>
        <w:t>Wie bereits dargelegt wurde (vgl. E. 2.7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Die Dres. med. J._______ und I._______ sind Fachärzte für Allgemeine Innere Medizin, wobei erstere zusätzlich über den Facharzttitel Physikalische Medizin und Rehabilitation verfügt. Sie verfügen somit zwar nicht über die Facharzttitel unter anderem in den Disziplinen der Neurologie und Psychiatrie/Psychothera-pie wie seinerzeit die Experten. Dennoch sind sie als Sachverständige grundsätzlich durchaus in der Lage, schlüssig und zuverlässig zu beurteilen, ob der Versicherte eine Verschlechterung seines gesundheitlichen Zustands hatte glaubhaft machen können resp. sich die medizinische Situation in einer für den Anspruch erheblichen Weise verändert haben könnte. Dies insbesondere einerseits deshalb, weil die kosovarischen Ärzte den Beschwerdeführer - wie bereits im Zeitpunkt des Einspracheentscheids vom 3. Oktober 2006 (vgl. act. 108 und 109; 50%ige Arbeitsunfähigkeit ab 1998) - weiterhin resp. bereits ab 1994/1995 als arbeitsunfähig erachteten (act. 223, 225 und 226), was bereits 2005 durch die polydisziplinäre Begutachtung in der Schweiz durch C._______ schlüssig und überzeugend widerlegt und vom Bundesverwaltungsgericht im Entscheid vom 19. Dezember 2008 (act. 211) geschützt wurde. Andererseits ergibt sich aufgrund der Berichte der Dres. med. K._______ und L._______ vom 19. und 22. Januar 2010 (act. 230 resp. 232 und 233) sowie der weiteren aktenkundigen Arztberichte aus der Heimat des Versicherten (act. 219 bis 226) keine wesentliche Veränderung des gesundheitlichen Zustands resp. wurde eine solche mit diesen ärztlichen Dokumenten nicht glaubhaft dargelegt, was von Dr. med. J._______ schlüssig und überzeugend ausgeführt wurde. Zur Verdeutlichung ist ergänzend festzustellen, dass für die von den ausländischen Ärzten attestierte Invalidität resp. Arbeits- und Leistungsunfähigkeit (act. 219, 222, 223, 225 und 226) jegliche rechtsgenügliche Begründung fehlt.</w:t>
      </w:r>
    </w:p>
    <w:p>
      <w:r>
        <w:rPr>
          <w:b/>
        </w:rPr>
        <w:t>E. 4.2.3</w:t>
      </w:r>
    </w:p>
    <w:p>
      <w:r>
        <w:t>Abschliessend ist festzuhalten, dass zufolge der Diagnosestellung im undatierten Austrittsbericht des Spitals M._______ betreffend den vom 6. bis 9. August 2005 stattgefundenen stationären Aufenthalt (act. 220) ebenfalls keine wesentliche, dauerhafte Verschlechterung des Gesundheitszustands resultierte resp. eine solche nicht glaubhaft gemacht wurde. Dies gilt auch im Zusammenhang mit der diagnostizierten chronischen Gastritis (act. 230 resp. 232 und 233), weil aus den Akten keine nennenswerten Auswirkungen auf die Arbeits- und Leistungsfähigkeit hervorgehen.</w:t>
      </w:r>
    </w:p>
    <w:p>
      <w:r>
        <w:rPr>
          <w:b/>
        </w:rPr>
        <w:t>E. 4.3</w:t>
      </w:r>
    </w:p>
    <w:p>
      <w:r>
        <w:t>Mit Blick auf die nachvollziehbaren Ausführungen der Dres. med. J._______ und I._______ hat der Beschwerdeführer somit keine wesentliche, für den Rentenanspruch erhebliche Verschlechterung des Gesundheitszustandes (resp. des IV-Grades) im Sinne von Art. 87 Abs. 3 und 4 IVV seit Erlass des Einspracheentscheids vom 3. Oktober 2006 bis zum Zeitpunkt der angefochtenen Verfügung (22. März 2010) glaubhaft gemacht. Ihm ist es nicht gelungen, substantielle Anhaltspunkte für eine allfällig neue Prüfung des Rentenanspruchs zufolge seiner gesundheitlichen Situation darzulegen. Es bestand unter diesen Umständen für die Vor-instanz - welcher bei der Beurteilung der Glaubhaftmachung ein Ermessens- und Beurteilungsspielraum zusteht, der vom Bundesverwaltungsgericht zu respektieren ist (vgl. Urteil des BGer 9C_286/2009 vom 28. Mai 2009, E. 3.2.3) - keine Verpflichtung, auf die Neuanmeldung vom 13. Mai 2009 (Eingangsstempel: 27. Mai 2009) einzutreten und diese allseitig bzw. in materieller Hinsicht zu prüfen. Jedoch sind - wie bereits dargelegt (vgl. E. 3. hiervor) - die nach dem Verfügungszeitpunkt vom 22. März 2010 eingegangenen resp. verfassten ärztlichen Dokumente an die Vorinstanz zur allfälligen neuen materiellen Prüfung der Rentenfrage zu überweisen.</w:t>
      </w:r>
    </w:p>
    <w:p>
      <w:r>
        <w:rPr>
          <w:b/>
        </w:rPr>
        <w:t>E. 5</w:t>
      </w:r>
    </w:p>
    <w:p>
      <w:r>
        <w:t>Aufgrund der vorstehenden Erwägungen trat die Vorinstanz zu Recht nicht auf das Neuanmeldungsgesuch vom 13. Mai 2009 (Eingangsstempel: 27. Mai 2009) ein, weshalb die Beschwerde vom 23. April 2010 als unbegründet abzuweisen ist.</w:t>
      </w:r>
    </w:p>
    <w:p>
      <w:r>
        <w:rPr>
          <w:b/>
        </w:rPr>
        <w:t>E. 6</w:t>
      </w:r>
    </w:p>
    <w:p>
      <w:r>
        <w:t>Zu befinden bleibt noch über die Verfahrenskosten und eine allfällige Parteientschädigung.</w:t>
      </w:r>
    </w:p>
    <w:p>
      <w:r>
        <w:rPr>
          <w:b/>
        </w:rPr>
        <w:t>E. 6.1</w:t>
      </w:r>
    </w:p>
    <w:p>
      <w:r>
        <w:t>Mit Zwischenverfügung vom 14. September 2011 (B-act. 24) wurde das Gesuch des Beschwerdeführers vom 6. Januar 2011 (act. 14 und 15) um unentgeltliche Prozessführung gutgeheissen; jener hat somit keine Verfahrenskosten zu tragen.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des Reglements vom 21. Februar 2008 über die Kosten und Entschädigungen vor dem Bundesverwaltungsgericht [VGKE, SR 173.320.2]), wobei die Voraussetzungen einer Ausnahme im konkreten Fall nicht erfüllt sind (BGE 127 V 205). Dem unterliegenden Beschwerdeführer ist entsprechend dem Verfahrensausgang keine Parteientschädigung zuzusprechen (Art. 64 Abs. 1 VwVG). (Dispositiv und Rechtsmittelbelehrung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