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C-3076/2013 vom 12. März 2015</w:t>
      </w:r>
    </w:p>
    <w:p>
      <w:r>
        <w:t>Bundesverwaltungsgericht, 2015-03-12, DE</w:t>
      </w:r>
    </w:p>
    <w:p>
      <w:r>
        <w:rPr>
          <w:b/>
        </w:rPr>
        <w:t xml:space="preserve">Quelle: </w:t>
      </w:r>
      <w:r>
        <w:t>https://mcp.opencaselaw.ch/entscheid/bvger_C-3076_2013</w:t>
      </w:r>
    </w:p>
    <w:p>
      <w:r>
        <w:t>FR: TAF C-3076/2013 du 12 mars 2015</w:t>
      </w:r>
    </w:p>
    <w:p>
      <w:r>
        <w:t>IT: TAF C-3076/2013 del 12 marzo 2015</w:t>
      </w:r>
    </w:p>
    <w:p>
      <w:pPr>
        <w:pStyle w:val="Heading2"/>
      </w:pPr>
      <w:r>
        <w:t>Regeste</w:t>
      </w:r>
    </w:p>
    <w:p>
      <w:r>
        <w:t>Einreiseverbot</w:t>
      </w:r>
    </w:p>
    <w:p>
      <w:pPr>
        <w:pStyle w:val="Heading2"/>
      </w:pPr>
      <w:r>
        <w:t>Erwägungen</w:t>
      </w:r>
    </w:p>
    <w:p>
      <w:r>
        <w:rPr>
          <w:b/>
        </w:rPr>
        <w:t>E. 1.1</w:t>
      </w:r>
    </w:p>
    <w:p>
      <w:r>
        <w:t>Von der Vorinstanz erlassene Einreiseverbote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 soweit sie nicht durch die während des Verfahrens verfügte Befristung des Einreiseverbots auf 15 Jahre gegenstandslos geworden ist (vgl. Art. 58 Abs. 3 VwVG; Urteil des BVGer C-2613/2011 vom 19. No­vember 2014 E. 1.4).</w:t>
      </w:r>
    </w:p>
    <w:p>
      <w:r>
        <w:rPr>
          <w:b/>
        </w:rPr>
        <w:t>E. 1.3</w:t>
      </w:r>
    </w:p>
    <w:p>
      <w:r>
        <w:t>Das BVGer entscheidet in der vorliegenden Angelegenheit endgültig (vgl. Art. 83 Bst. c Ziff. 1 BGG).</w:t>
      </w:r>
    </w:p>
    <w:p>
      <w:r>
        <w:rPr>
          <w:b/>
        </w:rPr>
        <w:t>E. 2</w:t>
      </w:r>
    </w:p>
    <w:p>
      <w:r>
        <w:t>Mit Beschwerde ans BVGer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mit Hinweis).</w:t>
      </w:r>
    </w:p>
    <w:p>
      <w:r>
        <w:rPr>
          <w:b/>
        </w:rPr>
        <w:t>E. 3.1</w:t>
      </w:r>
    </w:p>
    <w:p>
      <w:r>
        <w:t>Die Rechtsgrundlage für den Erlass von Einreiseverboten durch die Vorinstanz findet sich in Art. 67 Abs. 1 - 3 sowie 5 AuG und lautet folgendermassen: "1Das SEM verfügt unter Vorbehalt von Absatz 5 Einreiseverbote gegenüber weggewiesenen Ausländerinnen und Ausländern, wenn: a. die Wegweisung nach Artikel 64d Absatz 2 Buchstaben a-c sofort vollstreckt wird; b. diese nicht innerhalb der angesetzten Frist ausgereist sind. 2Es kann Einreiseverbote gegenüber Ausländerinnen und Ausländern verfügen, die: a. gegen die öffentliche Sicherheit und Ordnung in der Schweiz oder im Ausland verstossen haben oder diese gefährden; b. Sozialhilfekosten verursacht haben; c. in Vorbereitungs-, Ausschaffungs- oder Durchsetzungshaft (Art. 75-78) genommen worden sind. 3Das Einreiseverbot wird für eine Dauer von höchstens fünf Jahren verfügt. Es kann für eine längere Dauer verfügt werden, wenn die betroffene Person eine schwerwiegende Gefahr für die öffentliche Sicherheit und Ordnung darstellt. 4(...) 5Die verfügende Behörde kann aus humanitären oder anderen wichtigen Gründen von der Verhängung eines Einreiseverbots absehen oder ein Einreiseverbot vollständig oder vorübergehend aufheben."</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3709, 3813). Die öffentliche Sicherheit und Ordnung im Sinne von Art. 67 Abs. 2 Bst. a AuG bildet den Oberbegriff für die Gesamtheit der polizeilichen Schutzgüter; sie umfasst u.a. die Unverletzlichkeit der objektiven Rechtsordnung und der Rechtsgüter Einzelner (vgl. Botschaft, a.a.O., 3809). Ein Verstoss gegen die öffentliche Sicherheit und Ordnung liegt u.a. vor, wenn gesetzliche Vorschriften und behördliche Verfügungen missachtet werden (vgl. Art. 80 Abs. 1 Bst. a der Verordnung vom 24. Oktober 2007 über Zulassung, Aufenthalt und Erwerbstätigkeit [VZAE, SR 142.201]). 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die in BVGE 2014/20 nicht veröffentlichte E. 3.2 des Urteils C 5819/2012 vom 26. August 2014). Hat die betroffene Person in der Vergangenheit gegen die öffentliche Sicherheit und Ordnung verstossen, so wird die Gefahr entsprechender künftiger Störungen von Gesetzes wegen vermutet (vgl. Botschaft, a.a.O., S. 3760; vgl. auch Urteil des BVGer C 6127/2013 vom 7. Oktober 2014 E. 3.1).</w:t>
      </w:r>
    </w:p>
    <w:p>
      <w:r>
        <w:rPr>
          <w:b/>
        </w:rPr>
        <w:t>E. 3.3</w:t>
      </w:r>
    </w:p>
    <w:p>
      <w:r>
        <w:t>Die in Art. 67 Abs. 3 AuG statuierte Regelhöchstdauer eines Einreiseverbots beträgt 5 Jahre. Stellt die betroffene Person jedoch eine schwerwiegende Gefahr für die öffentliche Sicherheit und Ordnung dar, kann diese Dauer überschritten werden. Allerdings kam das BVGer im eben erwähnten BVGE 2014/20 zum Schluss, dass alle von der Vor­instanz verhängten Einreiseverbote zwingend auf eine bestimmte Zeitdauer zu befristen sind (E. 6.9). Weiter befasste sich das BVGer in diesem Entscheid mit der Frage nach der Höchstdauer solcher Einreiseverbote und kam zum Schluss, dass diese grundsätzlich 15 Jahre beträgt; nur im Wiederholungsfall kann die Dauer 20 Jahre betragen (E. 7).</w:t>
      </w:r>
    </w:p>
    <w:p>
      <w:r>
        <w:rPr>
          <w:b/>
        </w:rPr>
        <w:t>E. 4</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 Die SIS-II-VO wird seit dem 9. April 2013 angewendet und ersetzte insbesondere Art. 96 des Schengener Durchführungsübereinkommens vom 19. Juni 2990 (SDÜ, ABl. L 239/19 vom 22.9.2000; vgl. Urteil des BVGer C 5923/2012 vom 10. März 2014 E. 4.1).</w:t>
      </w:r>
    </w:p>
    <w:p>
      <w:r>
        <w:rPr>
          <w:b/>
        </w:rPr>
        <w:t>E. 5</w:t>
      </w:r>
    </w:p>
    <w:p>
      <w:r>
        <w:t>Die Vorinstanz hat das gegen den Beschwerdeführer verhängte Einreiseverbot mit seiner strafrechtlichen Verurteilung vom 21. Januar 2010 begründet (vgl. Sachverhalt Bst. B). Zweifellos stellen die mit diesem Urteil sanktionierten Straftaten Verstösse gegen die öffentliche Sicherheit und Ordnung dar, was gestützt auf Art. 67 Abs. 2 Bst. a AuG grundsätzlich die Anordnung eines Einreiseverbots rechtfertigt. Dies wird vom Beschwerdeführer auch nicht bestritten.</w:t>
      </w:r>
    </w:p>
    <w:p>
      <w:r>
        <w:rPr>
          <w:b/>
        </w:rPr>
        <w:t>E. 6.1</w:t>
      </w:r>
    </w:p>
    <w:p>
      <w:r>
        <w:t>Die Regelhöchstdauer eines Einreiseverbots von 5 Jahren kann gemäss Art. 67 Abs. 3 AuG überschritten werden, wenn die betroffene Person eine schwerwiegende Gefahr für die öffentliche Sicherheit und Ordnung darstellt.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mit Hinweisen; BGE 139 II 121 E. 6.3 mit Hinweisen).</w:t>
      </w:r>
    </w:p>
    <w:p>
      <w:r>
        <w:rPr>
          <w:b/>
        </w:rPr>
        <w:t>E. 6.2.1</w:t>
      </w:r>
    </w:p>
    <w:p>
      <w:r>
        <w:t>Die Vorinstanz stützt ihre Verfügung hauptsächlich auf das Urteil des Bezirksgerichts vom 21. Januar 2010, mit dem der Beschwerdeführer zu 3 Jahren Freiheitsentzug und einer Busse von Fr. 200.- verurteilt wurde. Die Begründung der angefochtenen Verfügung kann - auch unter Berücksichtigung der Ausführungen in der Vernehmlassung - angesichts der angeordneten Dauer der Fernhaltemassnahme, die das Vorliegen qualifizierter Gründe voraussetzt (vgl. Art. 67 Abs. 3 AuG), nicht als genügend angesehen werden. Zwar wird ausgeführt, dass die schweren Verstösse und die damit einhergehende erhebliche Gefährdung der öffentlichen Sicherheit und Ordnung den Erlass einer Fernhaltemassnahme gemäss "Art. 67 AuG mehr als angezeigt" erscheinen lasse. Wie sie jedoch zur Schlussfolgerung gelangte, es lägen qualifizierende Gründe vor, die eine mehr als 5 Jahre dauernde Fernhaltung gemäss Art. 67 Abs. 3 zweiter Satz AuG rechtfertigen, geht aus der Begründung ebenso wenig hervor wie eine Begründung, wodurch sich gerade 15 Jahre - was der maximalen Dauer entspricht (vgl. E. 3.3) - rechtfertigen. Da ein längerfristiges Einreiseverbot eine schwerwiegende Massnahme und der Ermessensspielraum der Behörde erheblich ist, ist es erforderlich, im Einzelfall eine Gefährdungsprognose zu erstellen und nachvollziehbar darzulegen, weshalb von einer aktuellen und schwerwiegenden Gefahr auszugehen ist (vgl. Urteil des BVGer C 4898/2012 vom 1. Mai 2014 E.3.3.). Indem die Vorinstanz ihre Anordnung eines 15 Jahre dauernden Einreiseverbots ungenügend begründet hat, ist sie ihrer Begründungspflicht nicht nachgekommen und hat damit das Recht des Beschwerdeführers auf rechtliches Gehör verletzt (vgl. Art. 29 Abs. 2 BV, Art. 35 Abs. 1 VwVG).</w:t>
      </w:r>
    </w:p>
    <w:p>
      <w:r>
        <w:rPr>
          <w:b/>
        </w:rPr>
        <w:t>E. 6.2.2</w:t>
      </w:r>
    </w:p>
    <w:p>
      <w:r>
        <w:t>Eine Verletzung des Anspruchs auf rechtliches Gehör führt grundsätzlich zur Aufhebung der Verfügung und zur Rückweisung an die Vor­instanz. In nicht besonders schwerwiegenden Fällen kann jedoch darauf verzichtet werden (sog. Heilung). Voraussetzungen dafür sind, dass die unterlassene Verfahrenshandlung im Rechtsmittelverfahren nachgeholt wird und das rechtliche Gehör vom Betroffenen nachträglich wahrgenommen werden kann. Dies setzt auch voraus, dass der Rechtsmittelbehörde die gleiche Kognition zukommt wie der Vorinstanz. Zudem darf der von der Verletzung betroffenen Partei durch den Verzicht auf die Kassation kein unzumutbarer Nachteil entstehen. Durch die "Heilung" einer Gehörsverletzung sollen prozessuale Leerläufe und unnötige Verzögerungen im Verfahren vermieden werden, die nicht mit dem Interesse der betroffenen Partei an einer beförderlichen Beurteilung der Sache in Einklang gebracht werden können (vgl. BGE 137 I 195 E. 2.2 und E. 2.3.2 sowie BVGE 2012/24 E. 3.4 je mit Hinweisen).</w:t>
      </w:r>
    </w:p>
    <w:p>
      <w:r>
        <w:rPr>
          <w:b/>
        </w:rPr>
        <w:t>E. 6.2.3</w:t>
      </w:r>
    </w:p>
    <w:p>
      <w:r>
        <w:t>Das BVGer verfügt über die gleiche Kognition wie die Vorinstanz, es ist zur freien Prüfung aller Sachverhalts- und Rechtsfragen befugt und wendet das Bundesrecht von Amtes wegen an. Der anwaltlich vertretene Beschwerdeführer hat sich nicht zur Frage der Verletzung des rechtlichen Gehörs geäussert und auch keine entsprechenden Anträge gestellt. Deshalb darf angenommen werden, dass bei ihm das Interesse an einer beförderlichen Beurteilung im Vordergrund steht, zumal ihm durch den Verzicht auf eine Rückweisung kein Nachteil entsteht. Zudem ist davon auszugehen, dass die Vorinstanz im Falle einer aus formellen Gründen angeordneten Rückweisung nicht anders entscheiden würde. Es rechtfertigt sich daher, von einer Kassation der Angelegenheit abzusehen.</w:t>
      </w:r>
    </w:p>
    <w:p>
      <w:r>
        <w:rPr>
          <w:b/>
        </w:rPr>
        <w:t>E. 6.3</w:t>
      </w:r>
    </w:p>
    <w:p>
      <w:r>
        <w:t>Aus dem Urteil des Kantonsgerichts geht hervor, dass der Beschwerdeführer seine 1992 geborene Tochter während vier Jahren - von 2004 bis 2008 - sexuell missbraucht hat (vgl. Urteil S. 3 und 13). Nach Auffassung des Gerichts wog das Verschulden ausgesprochen schwer. Der Beschwerdeführer habe während Jahren seine Tochter in schwerwiegender Weise missbraucht. Er habe seine dominante Stellung in der Familie ausgenutzt und mit dem niedrigen Beweggrund, sexuelle Befriedigung zu suchen, seiner Tochter schweren seelischen Schaden zugefügt (vgl. Urteil S. 19). Neben sexuellen Handlungen mit Kindern und Inzest wurden dem Beschwerdeführer weiter vorgeworfen, seiner damals noch nicht 16 jäh­ri­gen Tochter Filme mit pornographischem Inhalt gezeigt zu haben, was ebenfalls ein Delikt gegen die sexuelle Integrität darstellt. Das Fehlverhalten des Beschwerdeführers ist demnach als gravierend anzusehen. Die begangenen Straftaten sind - sowohl was die betroffenen Rechtsgüter (sexuelle, physische und psychische Integrität eines Kindes) als auch was die Umstände der Tatbegehung (z.B. Dauer/Schwere der Delikte, Motiv) und die Höhe der ausgefällten Strafe anbelangt - ohne Weiteres als schwerwiegende Störung der öffentlichen Sicherheit und Ordnung im Sinne von Art. 67 Abs. 3 zweiter Satz AuG zu qualifizieren. Zudem ist auch von einer aktuellen Gefahr weiterer Rechtsgutverletzungen auszugehen, hat doch der Beschwerdeführer offenbar immer wieder versucht, seine Taten abzustreiten (vgl. Urteil des Kantonsgerichts S. 18) und insb. die Glaubhaftigkeit der Aussagen seiner Tochter in Frage zu stellen (vgl. Urteil des Kantonsgerichts S. 12 - 18). Diese mangelnde Einsicht in das Unrecht seines Verhaltens birgt die Gefahr, dass der Beschwerdeführer auch in Zukunft wieder Delikte gegen die sexuelle, physische und psychische Integrität von Kindern oder Minderjährigen in seinem näheren Umfeld begehen könnte, zumal seine jüngste Tochter gerade einmal 10 Jahre alt ist. Hierfür spricht auch, dass das Bezirksgericht Abklärungen zu möglichen Therapien für nötig erachtete (vgl. Ziff. 5 des Urteilsdispositivs). Diese Anordnung wurde lediglich aufgrund eines Verfahrensfehlers vom Kantonsgericht aufgehoben. Dieser ausländerrechtlichen Betrachtungsweise steht die strafrechtliche Einschätzung des Kantonsgerichts nicht entgegen, das von einer "nicht ungünstigen" Prognose bezüglich künftigen Wohlverhaltens ausging (vgl. Urteil S. 20). Vor diesem Hintergrund ist die Verhängung eines mehr als fünf Jahre geltenden Einreiseverbots gemäss Art. 67 Abs. 3 zweiter Satz AuG gerechtfertigt.</w:t>
      </w:r>
    </w:p>
    <w:p>
      <w:r>
        <w:rPr>
          <w:b/>
        </w:rPr>
        <w:t>E. 7.1</w:t>
      </w:r>
    </w:p>
    <w:p>
      <w:r>
        <w:t>Der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verletzen oder gefährdeten Rechtsgüter, die Besonderheiten des ordnungswidrigen Verhaltens und die persönlichen Verhältnisse des Verfügungsbelasteten bilden dabei den Ausgangspunkt der Überlegungen (vgl. statt vieler BVGE 2014/20 E. 8.1 mit Hinweis).</w:t>
      </w:r>
    </w:p>
    <w:p>
      <w:r>
        <w:rPr>
          <w:b/>
        </w:rPr>
        <w:t>E. 7.2.1</w:t>
      </w:r>
    </w:p>
    <w:p>
      <w:r>
        <w:t>Vom Beschwerdeführer geht - wie in E. 6.3 dargelegt - nach wie vor eine schwerwiegende Gefahr für die öffentliche Sicherheit und Ordnung aus, weshalb ohne weiteres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ist sodann auch das generalpräventiv motivierte Interesse zu betrachten, durch eine konsequente Massnahmepraxis die öffentliche Sicherheit und Ordnung zu schützen (vgl. BVGE 2014/20 E. 8.2 mit Hinweis).</w:t>
      </w:r>
    </w:p>
    <w:p>
      <w:r>
        <w:rPr>
          <w:b/>
        </w:rPr>
        <w:t>E. 7.2.2</w:t>
      </w:r>
    </w:p>
    <w:p>
      <w:r>
        <w:t>Angesichts des über Jahre andauernden Missbrauchs der Tochter, der in den Strafurteilen geschilderten Umstände, wie es dazu gekommen ist, und der Haltung des Beschwerdeführers zu den von ihm begangenen Delikten besteht ein ganz erhebliches Interesse daran, mittels einer langjährigen Fernhaltung künftige Störungen der öffentlichen Sicherheit und Ordnung durch den Beschwerdeführer zu verhindern. Neben diesem sehr gewichtigen spezialpräventiven Interesse ist auch der generalpräventive Aspekt von Bedeutung, muss doch im ausländerrechtlichen Kontext bei schweren Straftaten, Rückfall oder wiederholter Delinquenz zum Schutze der Öffentlichkeit selbst ein geringes Restrisiko weiterer Rechtsgüterverletzung nicht hingenommen werden. Insbesondere bei Gewalt- oder Betäubungsmitteldelikten und der damit verbundenen Verletzung hochwertiger Rechtsgüter - zu denen auch die sexuelle Integrität gehört - besteht ein gewichtiges öffentliches Interesse an der Fernhaltung der ausländischen Täterschaft (vgl. BGE 139 I 31 E. 2.3.2; Urteil des Bundesgerichts 2C_640/2013 vom 25. November 2013 E. 2.3 mit weiteren Hinweisen). Vor dem Hintergrund dieses gewichtigen öffentlichen Interesses rechtfertigt sich, im vorliegenden Fall die maximale Dauer der Fernhaltemassname - d.h. 15 Jahre - voll auszuschöpfen.</w:t>
      </w:r>
    </w:p>
    <w:p>
      <w:r>
        <w:rPr>
          <w:b/>
        </w:rPr>
        <w:t>E. 7.3.1</w:t>
      </w:r>
    </w:p>
    <w:p>
      <w:r>
        <w:t>Dem öffentlichen Interesse sind die privaten Interessen des Beschwerdeführers gegenüber zu stellen. Hierbei stellte der Beschwerdeführer in der Beschwerdeschrift Art. 8 EMRK (Schutz des Familienlebens) ins Zentrum, da zu jenem Zeitpunkt seine Ehefrau und seine Kinder in der Schweiz lebten. Allerdings ergibt sich aus den Akten, dass sich der Sachverhalt in dieser Beziehung in der Zwischenzeit wesentlich geändert hat. Seine Ehefrau und die beiden noch minderjährigen Kinder sind ihm offenbar Ende 2013 nach Sri Lanka gefolgt (vgl. Abmeldebestätigung der Einwohnerdienste der Stadt Chur vom 4. Januar 2014). Auch sind die in der Beschwerdeschrift gegen eine Rückkehr nach Sri Lanka vorgebrachten Einwände durch seine Ausreise im September 2013 überholt (zumal sie ohnehin nicht in die sachliche und funktionelle Zuständigkeit des BVGer fielen, vgl. BVGE 2013/4 E. 7.4.1).</w:t>
      </w:r>
    </w:p>
    <w:p>
      <w:r>
        <w:rPr>
          <w:b/>
        </w:rPr>
        <w:t>E. 7.3.2</w:t>
      </w:r>
    </w:p>
    <w:p>
      <w:r>
        <w:t>Hingegen leben die erste Ehefrau des Beschwerdeführers und die älteren Kinder nach wie vor in der Schweiz, was gerade im Kontext von Art. 8 EMRK zu berücksichtigen ist. Insbesondere seine älteste Tochter hat sich gegenüber den kantonalen Behörden für ihn eingesetzt (vgl. E-Mail-Anfrage vom 3. September 2013). Es ist daher davon auszugehen, dass zumindest die Beziehung zur ältesten Tochter intakt ist. Allerdings ist bei familiären Beziehungen zwischen Eltern und ihren volljährigen Kindern der Schutzbereich der Garantie des Familienlebens gemäss Art. 8 EMRK nur dann tangiert, wenn es keine andere Möglichkeit gibt, diese Beziehung zu pflegen. Das trifft vorliegend nicht zu. Entgegen der in der Beschwerdeschrift vertretenen Auffassung verunmöglicht das Einreiseverbot Besuche in der Schweiz nicht absolut. Vielmehr besteht gemäss Art. 67 Abs. 5 AuG die Möglichkeit, das Einreiseverbot auf Gesuch hin aus wichtigen Gründen und für einen klar begrenzten Zeitraum auszusetzen (Suspension), was vorliegend insbesondere in familiären Angelegenheiten denkbar ist. Überdies kann der Kontakt zu seinen mittlerweile erwachsenen Kindern auch ausserhalb der Schweiz bzw. des Schengen-Raums stattfinden. Damit kann den Anforderungen von Art. 8 EMRK ausreichend Rechnung getragen werden.</w:t>
      </w:r>
    </w:p>
    <w:p>
      <w:r>
        <w:rPr>
          <w:b/>
        </w:rPr>
        <w:t>E. 7.4</w:t>
      </w:r>
    </w:p>
    <w:p>
      <w:r>
        <w:t>Insgesamt kann festgehalten werden, dass nach wie vor ein gewichtiges öffentliches Interesse an einer längerfristigen Fernhaltung des Beschwerdeführers besteht. Dieses öffentliche Interesse beruht auf der schwerwiegenden Verletzung sehr hochwertiger Rechtsgüter, den besonderen Umständen der Tatbegehung und dem Umstand, dass zur Zeit keine günstige Prognose bezüglich des Verhaltens des Beschwerdeführers gestellt werden kann. Nach wie vor geht vom Beschwerdeführer eine schwerwiegenden Gefahr für besonders hochwertige Rechtsgüter (physische, psychische und sexuelle Integrität) aus, welche es rechtfertigt, die maximale Verbotsdauer von 15 Jahren auszuschöpfen (vgl. BVGE 2014/20 E. 8.2). Den erkennbaren privaten Interessen hingegen ist kein entscheidendes Gewicht beizumessen. Ihnen kann vollumfänglich durch die Gewährung von Suspensionen Rechnung getragen werden, so dass sich hieraus kein Grund zu einer Verkürzung der Dauer des Einreiseverbots ergibt.</w:t>
      </w:r>
    </w:p>
    <w:p>
      <w:r>
        <w:rPr>
          <w:b/>
        </w:rPr>
        <w:t>E. 8</w:t>
      </w:r>
    </w:p>
    <w:p>
      <w:r>
        <w:t>Die angefochtene Verfügung ist - da die Vorinstanz das Einreiseverbot inzwischen mit einer Befristung auf 15 Jahre versehen hat - im Lichte von Art. 49 VwVG nicht zu beanstanden. Die Beschwerde ist demzufolge abzuweisen, soweit sie nicht durch die Verfügung vom 2. Oktober 2014 gegenstandslos geworden ist.</w:t>
      </w:r>
    </w:p>
    <w:p>
      <w:r>
        <w:rPr>
          <w:b/>
        </w:rPr>
        <w:t>E. 9</w:t>
      </w:r>
    </w:p>
    <w:p>
      <w:r>
        <w:t>Gemäss Art. 63 Abs. 1 VwVG sind die Verfahrenskosten der unterliegenden Partei aufzuerlegen. Bei teilweisem Unterliegen werden die Kosten ermässigt. Insoweit die Vorinstanz auf ihre Verfügung vom 30. April 2013 zurückgekommen ist und die Fernhaltemassnahme befristet hat, ist der Beschwerdeführer als obsiegende Partei anzusehen und sind die Verfahrenskosten entsprechend zu ermässigen. Aus dem gleichen Grund ist dem Beschwerdeführer zulasten der Vorinstanz eine ebenfalls ermässigte Entschädigung für die ihm entstandenen und verhältnismässig hohen Kosten zuzusprechen (vgl. Art. 64 Abs. 1 und Abs. 2 VwVG;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