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C-306/2012 vom 22. März 2013</w:t>
      </w:r>
    </w:p>
    <w:p>
      <w:r>
        <w:t>Bundesverwaltungsgericht, 2013-03-22, DE</w:t>
      </w:r>
    </w:p>
    <w:p>
      <w:r>
        <w:rPr>
          <w:b/>
        </w:rPr>
        <w:t xml:space="preserve">Quelle: </w:t>
      </w:r>
      <w:r>
        <w:t>https://mcp.opencaselaw.ch/entscheid/bvger_C-306_2012</w:t>
      </w:r>
    </w:p>
    <w:p>
      <w:r>
        <w:t>FR: TAF C-306/2012 du 22 mars 2013</w:t>
      </w:r>
    </w:p>
    <w:p>
      <w:r>
        <w:t>IT: TAF C-306/2012 del 22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6.2).</w:t>
      </w:r>
    </w:p>
    <w:p>
      <w:r>
        <w:rPr>
          <w:b/>
        </w:rPr>
        <w:t>E. 3</w:t>
      </w:r>
    </w:p>
    <w:p>
      <w:r>
        <w:t>Der Beschwerdeführer beanstandet die angefochtene Verfügung hauptsächlich in formeller Hinsicht, indem er der Vorinstanz vorwirft, seinen Anspruch auf rechtliches Gehör verletzt zu haben. Er macht geltend, die Vorinstanz habe ihm das Einreiseverbot eröffnet, ohne ihn zuvor über die Prüfung einer solchen Massnahme unterrichtet zu haben. Auch anlässlich seiner Einvernahme durch die Kantonspolizei Zürich am 26. August 2010 sei ihm hierzu nicht das rechtliche Gehör zugewährt worden. Soweit der Beschwerdeführer geltend macht, ihm sei gar nicht klar gewesen, worum es gehe und was insbesondere mit dem Begriff "Fernhaltemassnahme" gemeint gewesen sei, ist allerdings festzustellen, dass er sich bei der Einvernahme vom 26. August 2010 ausführlich und ohne sprachliche Schwierigkeiten zu seiner Situation geäussert und dargelegt hat, die Schweiz gar nicht erst verlassen zu wollen. Aufgrund dessen kann davon ausgegangen werden, dass ihm die Bedeutung der in Aussicht gestellten Fernhaltemassnahme prinzipiell bewusst war, dass er diese aber aufgrund des erhofften weiteren Verbleibs in der Schweiz gar nicht mehr weiter thematisierte. Bei seiner Einvernahme hat der Beschwerdeführer auch geäussert, dass sein Rechtsvertreter ihm bezüglich des weiteren Aufenthalts behilflich sein werde und sich mit ihm in Verbindung setzen werde. Der Beschwerdeführer hat damit zum Ausdruck gebracht, bei seiner Einvernahme auf dessen rechtliche Vertretung verzichten zu wollen. Auch wenn er im vorliegenden Rechtsmittelverfahren das Gegenteil behauptet, so ergab sich für die kantonale Behörde seinerzeit keine Verpflichtung, den Rechtsvertreter an der Einvernahme teilhaben zu lassen (vgl. den Wortlaut von Art 11 Abs. 1 VwVG). Dass die polizeiliche Einvernahme vom 26. August 2010 in Vertretung der entscheidenden Behörde durchgeführt wurde, spielt keine Rolle, wurde das Einvernahmeprotokoll doch an das BFM weitergeleitet, dessen Vorgehen im Fall der eigenen schriftlichen Gehörsgewährung im Ergebnis gleich gewesen wäre (vgl. Urteil des Bundesverwaltungsgerichts D-470/2007 vom 18. April 2007 E. 5.1.1). Ebenso wenig ergibt sich eine Gehörsverletzung daraus, dass die angefochtene Fernhaltemassnahme erst 15 Monate später verfügt wurde. Die Gelegenheit zur vorgängigen Stellungnahme muss nicht mehrfach eingeräumt werden, wenn sich eine bestimmte Frage nach wie vor bzw. unverändert stellt (vgl. Bernhard Waldmann/Jürg Bickel in: Praxiskommentar VwVG, Waldmann/Weissenberger [Hrsg.], Zürich 2009, Art. 30 N 35). Dies war im vorliegenden Verfahren der Fall: Die Anhörung vom 26. August 2010 erfolgte in einem Zeitpunkt, in dem die Niederlassungsbewilligung des Beschwerdeführers von der kantonalen Ausländerbehörde widerrufen und er aus der Schweiz weggewiesen worden war. Seine gegen den Widerruf eingelegten Rechtsmittel blieben erfolglos; mit dem entsprechenden letztinstanzlichen Urteil des Bundesgerichts vom 14. September 2011 bestand somit in Bezug auf die zu erlassende Fernhaltemassnahme die gleiche Ausgangslage wie zuvor. Infolgedessen ist der vom Beschwerdeführer unter verschiedenen Aspekten erhobene Einwand der Gehörsverletzung nicht gerechtfertigt.</w:t>
      </w:r>
    </w:p>
    <w:p>
      <w:r>
        <w:rPr>
          <w:b/>
        </w:rPr>
        <w:t>E. 4</w:t>
      </w:r>
    </w:p>
    <w:p>
      <w:r>
        <w:t>Gemäss Art. 67 Abs. 2 Bst. a des Ausländergesetzes vom 16. De­zember 2005 [AuG, SR 142.20])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4.1</w:t>
      </w:r>
    </w:p>
    <w:p>
      <w:r>
        <w:t>Die Verhängung eines Einreiseverbots nach Art. 67 AuG hat in der Regel zur Folge, dass die betroffene Person im Schengener Informationssystem (SIS) ausgeschrieben wird, sofern sie nicht einem durch die (in Anhang 1 Ziffer 1 AuG aufgeführten) Schengen-Assoziierungs­abkommen gebundenen Staat angehört. Die Ausschreibung im SIS erfolgt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Sie bewirkt, dass der Person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(BBl 2002 3760; vgl. auch Urteil des Bundesverwaltungsgerichts C-2731/2011 vom 18. November 2011 E. 4.3 mit ausführlichen Hinweisen).</w:t>
      </w:r>
    </w:p>
    <w:p>
      <w:r>
        <w:rPr>
          <w:b/>
        </w:rPr>
        <w:t>E. 5</w:t>
      </w:r>
    </w:p>
    <w:p>
      <w:r>
        <w:t>Die Vorinstanz hat das gegen A._______ verhängte Einreiseverbot insbesondere mit der am 10. Juni 2009 erfolgten Verurteilung des Beschwerdeführers wegen Widerhandlung gegen das Betäubungsmittelgesetz und Geldfälschung begründet. Zweifellos stellen diese Straftaten Verstösse gegen die öffentliche Sicherheit und Ordnung dar, was vom Beschwerdeführer auch gar nicht bestritten wird. Dass er einen Fernhaltegrund im Sinne von Art. 67 Abs. 2 Bst. a AuG gesetzt hat, ist folglich nicht in Abrede zu stellen.</w:t>
      </w:r>
    </w:p>
    <w:p>
      <w:r>
        <w:rPr>
          <w:b/>
        </w:rPr>
        <w:t>E. 6</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6.1</w:t>
      </w:r>
    </w:p>
    <w:p>
      <w:r>
        <w:t>Die gegen den Beschwerdeführer mit Urteil vom 10. Juni 2009 verhängte Freiheitstrafe belief sich auf 7 Jahre und 5 Monate und wurde zu zwei Dritteln verbüsst. Das Bezirksgericht Zürich hat das Verschulden des Beschwerdeführers als schwer bis sehr schwer bezeichnet, u.a. auch deshalb, weil er während einer noch laufenden strafrechtlichen Probezeit in den Kokainhandel einstieg und in den Jahren 2000 bis 2005 mit 26 Kilogramm reinem Kokain-Hydrochlorid gehandelt hatte. Nach Auffassung des Gerichts hat er rund 500'000 Franken, die aus dem einzig finanziell motivierten Drogenhandel stammten, für seinen luxuriösen Lebenswandel verwendet (vgl. zitiertes Urteil des Bundesgerichts 2C­_192/2011 E. 3.1).</w:t>
      </w:r>
    </w:p>
    <w:p>
      <w:r>
        <w:rPr>
          <w:b/>
        </w:rPr>
        <w:t>E. 6.2</w:t>
      </w:r>
    </w:p>
    <w:p>
      <w:r>
        <w:t>Das strafbare Verhalten des Beschwerdeführers spricht für eine besondere Gefährlichkeit. Geht es um die Anordnung fremdenpolizeilicher Massnahmen, so ist im Einklang mit dem Europäischen Gerichtshof für Menschenrechte (EGMR) bei Delikten, wie sie der Beschwerdeführer begangen hat, ein strenger Massstab anzulegen (vgl. BGE 125 II 521 E. 4a; Urteil des Bundesgerichts 2C_768/2011 vom 4. Mai 2010). Selbst ein vergleichsweise geringes Restrisiko eines Rückfalls ist dabei nicht hinzunehmen; gleichzeitig darf auch generalpräventiven Gesichtspunkten Rechnung getragen werden (vgl. Urteil des Bundesgerichts 2C_833/2011 vom 6. Juni 2012 E. 3.2.1 mit Hinweisen sowie zitiertes Urteil des Bundesgerichts 2C­_192/2011 E. 3.1).</w:t>
      </w:r>
    </w:p>
    <w:p>
      <w:r>
        <w:rPr>
          <w:b/>
        </w:rPr>
        <w:t>E. 6.3</w:t>
      </w:r>
    </w:p>
    <w:p>
      <w:r>
        <w:t>Ein erhebliches öffentliches Interesse daran, den Beschwerdeführer von der Schweiz fernzuhalten, ist damit zu bejahen. Seine Widerhandlung gegen das Betäubungsmittelgesetz, einhergehend mit Gewinnsucht und der gesundheitlichen Gefährdung anderer, rechtfertigt selbst die Anordnung eines zeitlich unbefristeten Einreiseverbots. Die fehlende Befristung bedeutet dabei nicht, dass das Einreiseverbot für den Rest des Lebens Gültigkeit haben soll; ein Anspruch auf Überprüfung der Massnahme besteht im Allgemeinen etwa 10 Jahre nach Verbüssung der letzten Freiheitsstrafe (vgl. BVGE 2008/24 E. 4.3 und 6.2 je mit Hinweisen).</w:t>
      </w:r>
    </w:p>
    <w:p>
      <w:r>
        <w:rPr>
          <w:b/>
        </w:rPr>
        <w:t>E. 6.4</w:t>
      </w:r>
    </w:p>
    <w:p>
      <w:r>
        <w:t>Soweit der Beschwerdeführer der Vorinstanz vorwirft, seine privaten Interessen, sprich das Vorhandensein von Familienangehörigen in der Schweiz, ungenügend berücksichtigt zu haben, ist darauf hinzuweisen, dass sein Privat- und Familienleben in erster Linie durch das fehlende Anwesenheitsrecht in der Schweiz eingeschränkt wird. Das Bundesgericht, das letztinstanzlich über den Widerruf seiner Niederlassungsbewilligung entschieden hat, hat jedenfalls festgestellt, den Anforderungen von Art. 8 der Konvention zum Schutze der Menschenrechte und Grundfreiheiten (EMRK, SR 0.101) sei Genüge getan, wenn er das ihr gegenüber bestehende Besuchsrecht im Rahmen von Kurzaufenthalten in der Schweiz ausüben könne; die damit verbundenen Erschwernisse habe er sich selbst zuzuschreiben (vgl. bereits zitiertes Urteil des Bundesgerichts 2C_192/2011 E. 3.3.1). Die Vorinstanz hat in der angefochtenen Verfügung darauf hingewiesen, dass den allfälligen privaten Interessen des Beschwerdeführers an zukünftigen Einreisen gegebenenfalls im Rahmen von befristeten Suspensionen Rechnung getragen werden könne. Damit hat sie die familiären Interessen des Beschwerdeführers hinreichend berücksichtigt. Zudem kann dieser den Kontakt zu seinen in der Schweiz lebenden Angehörigen auch mittels Telefon und modernen Kommunikationsmitteln aufrecht erhalten.</w:t>
      </w:r>
    </w:p>
    <w:p>
      <w:r>
        <w:rPr>
          <w:b/>
        </w:rPr>
        <w:t>E. 7</w:t>
      </w:r>
    </w:p>
    <w:p>
      <w:r>
        <w:t>Zusammenfassend ist festzustellen, dass das unbefristete Einreiseverbot eine verhältnismässige und angemessene Massnahme zum Schutz der öffentlichen Ordnung darstellt. Angesichts der Schwere der abgeurteilten Straftaten des Beschwerdeführers und der sich hieraus ergebenden Gefährdung der Allgemeinheit sind die Voraussetzungen von Art. 67 Abs. 3 Satz 2 AuG zweifelsohne erfüllt. Hinsichtlich der SIS-Aus­schreibung ist festzustellen, dass diese in Übereinstimmung mit den einschlägigen Bestimmungen (vgl. E. 4.1) erfolgte. Insbesondere wurde das der SIS-Aus­schreibung zugrunde liegende Einreiseverbot von einer national zuständigen Behörde verfügt, dies im Zusammenhang mit der Verurteilung wegen Straftaten, die mit Freiheitsstrafe von mindestens einem Jahr bedroht sind (vgl. Art. 96 Ziff. 1 und Ziff. 2 Bst. a SDÜ).</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wird der unterliegende Beschwerdeführer kostenpflichtig (vgl.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