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C-306/2006 vom 18. Dezember 2007</w:t>
      </w:r>
    </w:p>
    <w:p>
      <w:r>
        <w:t>Bundesverwaltungsgericht, 2007-12-18, FR</w:t>
      </w:r>
    </w:p>
    <w:p>
      <w:r>
        <w:rPr>
          <w:b/>
        </w:rPr>
        <w:t xml:space="preserve">Quelle: </w:t>
      </w:r>
      <w:r>
        <w:t>https://mcp.opencaselaw.ch/entscheid/bvger_C-306_2006</w:t>
      </w:r>
    </w:p>
    <w:p>
      <w:r>
        <w:t>FR: TAF C-306/2006 du 18 décembre 2007</w:t>
      </w:r>
    </w:p>
    <w:p>
      <w:r>
        <w:t>IT: TAF C-306/2006 del 18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 par la décision entreprise, a qualité pour recourir (cf. art. 48 al. 1 PA). Son recours, présenté dans la forme et les délais prescrits par la loi, est recevable (cf. art. 50 et art. 52 PA).</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w:t>
      </w:r>
    </w:p>
    <w:p>
      <w:r>
        <w:t>Dans la mesure où le recourant invoque un vice de procédure en reprochant à l'autorité inférieure d'avoir violé son droit d'être entendu (cf. mémoire de recours, p. 4), le Tribunal examinera en priorité ce grief. En effet, le droit d'être entendu est de nature formelle, de sorte que sa violation entraîne en principe l'annulation de la décision entreprise sans qu'il soit même nécessaire de vérifier si, au fond, la décision apparaît justifiée ou non (cf. ATF 121 I 230 consid. 2a, 120 Ib 279 consid. 3b).</w:t>
      </w:r>
    </w:p>
    <w:p>
      <w:r>
        <w:rPr>
          <w:b/>
        </w:rPr>
        <w:t>E. 2.1</w:t>
      </w:r>
    </w:p>
    <w:p>
      <w:r>
        <w:t>Le droit d'être entendu, dont la garantie se trouve inscrite à l'art. 29 al. 2 de la Constitution fédérale du 18 avril 1999 (Cst, RS 101), comprend le droit pour le justiciable de prendre connaissance du dossier (cf. ATF 126 I 7 consid. 2b),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124 II 132 consid. 2b et la jurisprudence citée). Le droit d'être entendu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126 I 7 consid. 2b; Jurisprudence des autorités administratives de la Confédération [JAAC] 63.66 consid. 2; André Grisel, Traité de droit administratif, Neuchâtel 1984, vol. I, p. 380 ss ; Fritz Gygi, Bundesverwaltungs-rechtspflege, Berne 1983, p. 69).</w:t>
      </w:r>
    </w:p>
    <w:p>
      <w:r>
        <w:rPr>
          <w:b/>
        </w:rPr>
        <w:t>E. 2.2</w:t>
      </w:r>
    </w:p>
    <w:p>
      <w:r>
        <w:t>En l'occurrence, le recourant reproche d'abord à l'ODM d'avoir violé son droit d'être entendu parce que ce dernier n'a pas donné suite à sa réquisition du 6 mars 2006, l'empêchant ce faisant de participer à la procédure et de produire ses moyens de preuve. A cet égard, il y a lieu de relever que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124 I 208 consid. 4a). Dans le cas d'espèce, le Tribunal constate que le recourant a eu la faculté d'exposer ses arguments et de présenter ses moyens de preuve dans sa lettre du 6 mars 2006 et qu'il a ainsi pu faire entendre son point de vue à satisfaction de droit, étant précisé par ailleurs que l'essentiel de son argumentation reposait sur les pièces contenues dans le dossier cantonal. Cela étant, même à supposer que l'Office fédéral ait effectivement violé le droit d'être entendu du recourant en ne donnant pas suite à sa réquisition du 6 mars 2006, il sied de noter que, selon la jurisprudence constante en la matière, un tel vice peut être réparé lorsque le justiciable a eu la possibilité de s'exprimer devant une autorité de recours qui jouit d'une pleine cognition (cf. ATF 133 I 201 consid. 2.2, 130 II 530 consid. 7.3, 127 V 431 consid. 3d/aa, 126 V 130 consid. 2b; JAAC 68.133 consid. 2), ce qui est précisément le cas dans la présente procédure puisque le Tribunal peut examiner librement le fait et le droit. Au demeurant, le recourant a largement eu la possibilité d'expliciter ses arguments dans le cadre de la procédure de recours et de prendre position de façon adéquate au sujet des éléments qui ont motivé la décision précitée.</w:t>
      </w:r>
    </w:p>
    <w:p>
      <w:r>
        <w:rPr>
          <w:b/>
        </w:rPr>
        <w:t>E. 2.3</w:t>
      </w:r>
    </w:p>
    <w:p>
      <w:r>
        <w:t>Le recourant soutient ensuite que l'ODM a manqué à son obligation de motiver sa décision puisque celle-ci ne précise pas sur quels éléments elle se fonde, de sorte qu'il n'a pas pu exposer ses propres arguments. A ce propos, il convient de noter que le droit d'être entendu implique également pour l'autorité l'obligation de motiver sa décision (cf. ATF 126 I 97 consid. 2b). La motivation d'une décision est suffisante lorsque l'administré est mis en mesure d'en apprécier la portée et de la déférer à une instance supérieure en pleine connaissance de cause (cf. ATF 122 IV 8 consid. 2c). Il suffit que l'autorité mentionne au moins brièvement les motifs qui l'ont guidée et sur lesquels elle a fondé son prononcé, sans qu'elle soit tenue de répondre à tous les arguments avancés. L'étendue de l'obligation de motiver dépend de la complexité de la cause à juger (cf. ATF 111 Ia 2 consid. 4b). Par ailleurs, doctrine et jurisprudence admettent que, si l'autorité appelée à rendre une décision doit se prononcer sur tous les points essentiels, de droit ou de fait, qui ont influencé sa décision, elle n'est cependant pas contrainte de prendre position sur tous les moyens des parties, mais uniquement sur ceux qui sont clairement évoqués et dont dépend le sort du litige. Il faut que les parties puissent se rendre compte de la portée de la décision prise à leur égard et, partant, se déterminer en toute connaissance de cause sur l'opportunité d'un recours (cf. ATF 126 I 97 consid. 2b et références citées ; JAAC 59.89; Mark E. Villiger, Die Pflicht zur Begründung von Verfügungen, in Schweizerisches Zentralblatt für Staats- und Verwaltungsrecht [ZBl], 4/1989, p. 139 ss).</w:t>
      </w:r>
    </w:p>
    <w:p>
      <w:r>
        <w:rPr>
          <w:b/>
        </w:rPr>
        <w:t>E. 2.4</w:t>
      </w:r>
    </w:p>
    <w:p>
      <w:r>
        <w:t>En l'espèce, force est de constater que la décision querellée du 10 mars 2006 satisfait pleinement aux exigences précitées. En effet, l'ODM s'est prononcé sur les principaux arguments invoqués par le recourant, de sorte que ce dernier a été parfaitement en mesure de saisir les différents éléments essentiels sur lesquels l'autorité intimée s'était fondée pour justifier sa position. Preuve en est le mémoire de recours fort circonstancié qu'il a été en mesure de déposer le 20 mars 2006. Au demeurant, l'intéressé a largement eu la possibilité d'expliciter ses arguments dans le cadre de la procédure de recours et de prendre position de façon adéquate au sujet des éléments qui ont motivé la décision précitée (cf. ATF 116 V 39 consid. 4b). Le grief tiré d'une violation du droit d'être entendu doit donc être écarté.</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3.2</w:t>
      </w:r>
    </w:p>
    <w:p>
      <w:r>
        <w:t>L'ODM est compétent en matière d'exceptions aux mesures de limitation du nombre des étrangers selon l'art. 13 let. b, f et l (cf. art. 52 let. a OLE). A ce propos, le recourant observe que le Tribunal administratif du canton de Vaud, dans son arrêt du 10 janvier 2006, a considéré que l'application de l'art. 13 let. f OLE ne devait pas être écartée (cf. mémoire de recours, p. 10). Or, contrairement à ce que semble accroire le recourant, il sied de noter que l'autorité fédérale n'est pas liée par la prise de position émise par le SPOP/VD le 13 février 2006 à la suite de l'arrêt cantonal précité.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122 II 186 consid. 1d/bb; 119 Ib 33 consid. 3a, traduit en français dans Journal des Tribunaux [JdT], 1995 I 226 consid. 3a; Peter Kottusch, Das Ermessen der kantonalen Fremdenpolizei und seine Schranken, in ZBl 91/1990, p. 155) et au Tribunal, en vertu de l'effet dévolutif du recours (cf. art. 54 PA).</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4.3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ATF 130 II 39 consid. 3).</w:t>
      </w:r>
    </w:p>
    <w:p>
      <w:r>
        <w:rPr>
          <w:b/>
        </w:rPr>
        <w:t>E. 5.1</w:t>
      </w:r>
    </w:p>
    <w:p>
      <w:r>
        <w:t>Dans son pourvoi, le recourant invoque le bénéfice de la circulaire de l'ODM du 21 décembre 2001 sur la pratique de cet office concernant la réglementation du séjour des étrangers dans les cas personnels d'extrême gravité (cf. mémoire de recours, p. 8 ss).</w:t>
      </w:r>
    </w:p>
    <w:p>
      <w:r>
        <w:rPr>
          <w:b/>
        </w:rPr>
        <w:t>E. 5.2</w:t>
      </w:r>
    </w:p>
    <w:p>
      <w:r>
        <w:t>Comme le Tribunal a eu l'occasion de le rappeler à de nombreuses reprises (cf. en particulier ATAF 2007/16 consid. 6.2 et 6.3), cette circulaire ne pose aucun principe selon lequel un séjour de quatre ans au moins et une bonne intégration en Suisse entraîneraient obligatoirement l'application de l'art. 13 let. f OLE et le recourant ne peut tirer aucun avantage de ce texte.</w:t>
      </w:r>
    </w:p>
    <w:p>
      <w:r>
        <w:rPr>
          <w:b/>
        </w:rPr>
        <w:t>E. 6.1</w:t>
      </w:r>
    </w:p>
    <w:p>
      <w:r>
        <w:t>En l'occurrence, A._______ a sollicité l'octroi d'une exception aux mesures de limitation afin de demeurer dans le canton de Vaud où il affirme vivre désormais depuis vingt-trois ans. Se fondant sur les pièces du dossier cantonal, le Tribunal estime que les éléments portés à sa connaissance permettent de constater que depuis le mois de novembre 1984, l'intéressé a résidé en Suisse sans autorisation de séjour et de travail en bonne et due forme (cf. courrier du SPOP/VD du 17 janvier 2005), si l'on excepte la période s'étendant du 13 avril au 12 août 1991 au cours de laquelle il a bénéficié d'une autorisation de séjour de courte durée (« permis L ») lui permettant de travailler pour le compte d'une entreprise vaudoise (cf. arrêt du 10 janvier 2006 du Tribunal administratif du canton de Vaud, p. 2), et que depuis le dépôt de sa demande de régularisation, au mois de janvier 2005, l'intéressé demeure en Suisse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2A.45/2007 du 17 avril 2007).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Cela étant, il convient d'examiner les critères d'évaluation qui, autres que la seule durée du séjour en Suisse, pourraient rendre le retour du recourant dans son pays d'origine particulièrement difficile.</w:t>
      </w:r>
    </w:p>
    <w:p>
      <w:r>
        <w:rPr>
          <w:b/>
        </w:rPr>
        <w:t>E. 6.3</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6.4</w:t>
      </w:r>
    </w:p>
    <w:p>
      <w:r>
        <w:t>En l'espèce, le recourant justifie avant tout sa démarche par la « très longue durée » de son séjour en Suisse, par la présence en ce pays de plusieurs membres de sa famille et par sa parfaite intégration en ce pays sur les plans social, professionnel, économique, familial, associatif, culturel et religieux (cf. mémoire de recours, p. 7). En ce qui concerne l'intégration socioprofessionnelle du recourant, force est de constater que, comparée à celle de la moyenne des étrangers présents en Suisse depuis plus de dix ans, elle ne revêt aucun caractère exceptionnel. En effet, bien que le Tribunal ne remette nullement en cause les efforts d'intégration accomplis par l'intéressé, ni les qualités professionnelles mises en avant par ses divers employeurs (cf. notamment les attestations de travail produites à l'appui du recours), il ne saurait pour autant considérer que celui-ci se soit créé avec la Suisse des attaches à ce point profondes et durables qu'il ne puisse plus raisonnablement envisager un retour dans son pays d'origine. Force est de constater en effet qu'au regard de la nature des emplois (installateur-sanitaire, maçon, ouvrier agricole, carrossier etc.) qu'il a exercés en Suisse, il n'a pas acquis de connaissances ou de qualifications spécifiques telles qu'il ne pourrait mettre en pratique qu'en Suisse et qu'il faille considérer qu'il a fait preuve d'une évolution professionnelle remarquable en ce pays justifiant, à elle seule, l'admission d'un cas de rigueur au sens de l'art. 13 let. f OLE (cf. ATAF 2007/16 consid. 8.3 et jurisprudence citée; voir également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puisqu'il y a séjourné et travaillé sans autorisation durant de très nombreuses années.</w:t>
      </w:r>
    </w:p>
    <w:p>
      <w:r>
        <w:rPr>
          <w:b/>
        </w:rPr>
        <w:t>E. 6.5</w:t>
      </w:r>
    </w:p>
    <w:p>
      <w:r>
        <w:t>Cela étant,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rappeler ici que le recourant est né le 14 juillet 1963 à Mirushë, au Kosovo (cf. rapport d'arrivée signé par l'intéressé le 20 janvier 2005), où il a suivi toute sa scolarité et où il a vécu jusqu'à l'âge de vingt-et-un ans. Il a ainsi passé dans son pays d'origine toute sa jeunesse, son adolescence, une partie de sa vie de jeune adulte et il y a fondé une famille. Ces années apparaissent comme essentielles pour la formation de la personnalité et, partant, pour l'intégration sociale et culturelle (cf. ATF 123 II 125 consid. 5b/aa). Certes, le Tribunal administratif du canton de Vaud a admis dans son arrêt du 10 janvier 2006 que le séjour en Suisse du recourant avait été de « très longue durée ». Le Tribunal de céans ne saurait toutefois considérer que son séjour sur le territoire suisse ait été long au point de le rendre totalement étranger à sa patrie. Il n'est en effet pas concevable que ce pays, où il a passé une partie de son existence et où, surtout, vivent son épouse et ses trois enfants mineurs nés en 1990, 1997 et 2003 (cf. rapport d'arrivée précité), lui soit devenu à ce point étranger qu'il ne serait plus en mesure, après une période de réadaptation, d'y retrouver ses repères. De plus, le fait qu'il entretienne sa famille demeurée au Kosovo démontre qu'il a gardé des liens étroits avec ses proches dans son pays d'origine (cf. arrêt du Tribunal fédéral 2A.429/2003 du 26 novembre 2003 consid. 5.3). Dès lors, son retour ne le mettrait pas dans une situation de détresse personnelle, d'autant moins qu'il est retourné à plusieurs reprises dans son pays depuis 1984 pour y rencontrer sa famille, notamment en décembre 1995 (cf. mémoire de recours, p. 2) et durant deux mois en 2000 (cf. arrêt du Tribunal administratif du canton de Vaud du 10 janvier 2006, p. 12). Sur un autre plan, il convient de noter que le recourant est en bonne santé. Ainsi, même si l'on peut admettre, dans une certaine mesure, que l'intéressé a pris distance de sa patrie du fait de son séjour en Suisse, où résident également des membres de sa famille, soit une soeur, deux beaux-frères et plusieurs neveux et nièces, au bénéfice d'autorisations d'établissement (cf. mémoire de recours, p. 8, et déterminations du 7 juin 2006, p. 3), force est néanmoins de constater qu'il conserve malgré tout dans son pays d'origine de conditions familiales très favorables en vue de s'y réintégrer, pouvant compter sur l'appui, moral du moins, de ses proches. Par ailleurs, la pratique acquise par l'intéressé sur le plan professionnel pourra être un atout dans son pays qui est en pleine reconstruction, ou du moins favoriser sa réintégration professionnelle.</w:t>
      </w:r>
    </w:p>
    <w:p>
      <w:r>
        <w:rPr>
          <w:b/>
        </w:rPr>
        <w:t>E. 6.6</w:t>
      </w:r>
    </w:p>
    <w:p>
      <w:r>
        <w:t>Enfin, le Tribunal n'ignore pas non plus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bénéfice en Suisse, notamment en raison de la crise économique que traverse la province du Kosovo. Il n'y a pas lieu cependant de considérer que cette situation serait sans commune mesure avec celle que connaissent ses compatriotes, ni, comme le fait accroire le recourant, qu'il aurait des difficultés insurmontables à trouver sa propre place dans la société kosovare au motif qu'il y serait « complètement déboussolé et perdu » (cf. courrier du 7 juin 2006). En outre, il convient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w:t>
      </w:r>
    </w:p>
    <w:p>
      <w:r>
        <w:rPr>
          <w:b/>
        </w:rPr>
        <w:t>E. 6.7</w:t>
      </w:r>
    </w:p>
    <w:p>
      <w:r>
        <w:t>En conséquence, l'examen de l'ensemble des éléments de la présente cause amène le Tribunal à la conclusion que l'intéressé ne se trouve pas dans une situation d'extrême gravité au sens de l'art. 13 let. f OLE et que c'est à bon droit que l'autorité intimée a considéré qu'il ne satisfaisait pas aux exigences de cette disposition.</w:t>
      </w:r>
    </w:p>
    <w:p>
      <w:r>
        <w:rPr>
          <w:b/>
        </w:rPr>
        <w:t>E. 7</w:t>
      </w:r>
    </w:p>
    <w:p>
      <w:r>
        <w:t>Les faits étant suffisamment établis par les pièces figurant au dossier, le Tribunal estime qu'il n'est point nécessaire de donner suite à la réquisition du recourant tendant à son audition, ni à celle visant à ce que les autorités communales de Granges-Marnand soient entendues dans le cadre de cette affaire; cela d'autant moins que l'autorité d'instruction a accordé au recourant la faculté de produire des dépositions écrites (cf. décision incidente du 27 mars 2006).</w:t>
      </w:r>
    </w:p>
    <w:p>
      <w:r>
        <w:rPr>
          <w:b/>
        </w:rPr>
        <w:t>E. 8</w:t>
      </w:r>
    </w:p>
    <w:p>
      <w:r>
        <w:t>Compte tenu des considérants exposés ci-dessus, il appert que, par sa décision du 10 mars 2006,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