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C-3068/2020 vom 4. August 2021</w:t>
      </w:r>
    </w:p>
    <w:p>
      <w:r>
        <w:t>Bundesverwaltungsgericht, 2021-08-04, DE</w:t>
      </w:r>
    </w:p>
    <w:p>
      <w:r>
        <w:rPr>
          <w:b/>
        </w:rPr>
        <w:t xml:space="preserve">Quelle: </w:t>
      </w:r>
      <w:r>
        <w:t>https://mcp.opencaselaw.ch/entscheid/bvger_C-3068_2020</w:t>
      </w:r>
    </w:p>
    <w:p>
      <w:r>
        <w:t>FR: TAF C-3068/2020 du 4 août 2021</w:t>
      </w:r>
    </w:p>
    <w:p>
      <w:r>
        <w:t>IT: TAF C-3068/2020 del 4 agosto 2021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13. Mai 2020 stellt eine Verfügung im Sinne von Art. 5 Abs. 1 VwVG dar. Dagegen hat die Beschwerdeführerin am 11. Juni 2020 fristgerecht (Art. 50 in Verbindung mit Art. 22a Abs. 1 lit. b VwVG) und formgerecht (Art. 52 VwVG) Beschwerde erhoben. Als Adressat ist sie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gemäss Art. 37 VGG grundsätzlich nach dem VwVG, soweit das VGG nichts anderes bestimmt.</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Grenzbetrag wird vom Bundesrat gemäss Art. 9 BVG periodisch angepasst und betrug im Jahr 2018 Fr. 21'150.- und im Jahr 2019 Fr. 21'330.-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w:t>
      </w:r>
    </w:p>
    <w:p>
      <w:r>
        <w:rPr>
          <w:b/>
        </w:rPr>
        <w:t>E. 3.2</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3.2.1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3.2.2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A-5687/2016 vom 6. April 2017 E. 2.4.2, A-1046/2016 vom 15. Dezember 2016 E. 2.7, A-532/2016 vom 7. Oktober 2016 E. 2.2.2, A-7102/2014 vom 11. Mai 2016 E. 2.4.3).</w:t>
      </w:r>
    </w:p>
    <w:p>
      <w:r>
        <w:rPr>
          <w:b/>
        </w:rPr>
        <w:t>E. 3.2.3</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 Der entsprechende Anschluss erfolgt (ebenfalls) rückwirkend auf den Zeitpunkt, in welchem die zu versichernde Person erstmals ihre Stelle antritt (vgl. Art. 3 Abs. 1 der Verordnung Auffangeinrichtung sowie Urteil A-3819/2016 E. 3.7.3).</w:t>
      </w:r>
    </w:p>
    <w:p>
      <w:r>
        <w:rPr>
          <w:b/>
        </w:rPr>
        <w:t>E. 3.2.4</w:t>
      </w:r>
    </w:p>
    <w:p>
      <w:r>
        <w:t>Während die blosse Säumnis des Arbeitgebers, sich einer Vorsorgeeinrichtung anzuschliessen, zu einem Zwangsanschluss nach Art. 60 Abs. 2 Bst. a BVG führt, richtet sich der Anschluss nach Art. 60 Abs. 2 Bst. d BVG, sofern vor dem Anschluss an eine Vorsorgeeinrichtung Leistungsansprüche entstanden sind. Das Bundesgericht hat denn auch in BGE 130 V 526 E. 4.3 festgehalten, dass es sich bei der Verfügung nach Art. 60 Abs. 2 Bst. a BVG um eine Gestaltungsverfügung handelt, durch welche dem Arbeitgeber neue Pflichten auferlegt werden. Der Anschluss nach Art. 60 Abs. 2 Bst. d BVG hingegen erfolgt aufgrund des Gesetzes und die entsprechende Verfügung der Auffangeinrichtung hat deshalb bloss feststellenden Charakter (vgl. dazu auch Urteile des BVGer A-5692/2016 vom 12. Juni 2017 E. 3.11.2, A-6967/2016 vom 12. Mai 2017 E. 2.2.3).</w:t>
      </w:r>
    </w:p>
    <w:p>
      <w:r>
        <w:rPr>
          <w:b/>
        </w:rPr>
        <w:t>E. 3.3</w:t>
      </w:r>
    </w:p>
    <w:p>
      <w:r>
        <w:t>Eine echte Doppelversicherung liegt vor, wenn vorsorgerechtlich der gleiche Lohn für die funktionell gleiche hauptberufliche Tätigkeit versichert wird. Dies ist dann gegeben, wenn der Versicherte für das gleiche Risiko bei verschiedenen Versicherungsträgern versichert ist. Mit dem Verfassungsauftrag und der gesetzlichen Ordnung des BVG als obligatorische Mindestversicherung lassen sich echte Doppelversicherungen nicht vereinbaren. Würden solche zugelassen, so hätte der Versicherte für das gleiche Risiko zweimal Beiträge zu bezahlen und hätte grundsätzlich auch einen doppelten Leistungsanspruch, was im Hinblick auf das Überversicherungsverbot (Art. 24 BVV 2) regelmässig zu Leistungskürzungen Anlass geben würde. Zudem bedürfte es besonderer Regeln bezüglich der Leistungspflicht der beteiligten Vorsorgeeinrichtungen in solchen Fällen. Das BVG enthält indessen keine Normen über die anteilsmässige Leistungspflicht von zwei Vorsorgeeinrichtungen; auch fehlen gesetzliche Bestimmungen über den Rückgriff zwischen mehreren Vorsorgeeinrichtungen. Echte Doppelversicherungen sind somit ausgeschlossen (BGE 120 V 15 E. 3b und 4a).</w:t>
      </w:r>
    </w:p>
    <w:p>
      <w:r>
        <w:rPr>
          <w:b/>
        </w:rPr>
        <w:t>E. 3.4</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13. Mai 2020). Dieses Reglement bildet auch im vorliegenden Fall integrierenden Bestandteil der Zwangsanschlussverfügung. Es sieht unter der Rubrik «Zwangsanschluss» für «Verfügung und Durchführung Zwangsanschluss» Kosten von Fr. 825.- vor. Eine Auferlegung der Kosten für die Zwangsanschlussverfügung ist dann gerechtfertigt, wenn der Zwangsanschluss im Zeitpunkt des Erlasses der Verfügung der Vorinstanz vom 13. Mai 2020 nach der damaligen Sach- und Rechtslage zu Recht angeordnet wurde (vgl. Urteil des BVGer A-6747/2016 vom 9. Mai 2017, E. 4).</w:t>
      </w:r>
    </w:p>
    <w:p>
      <w:r>
        <w:rPr>
          <w:b/>
        </w:rPr>
        <w:t>E. 4</w:t>
      </w:r>
    </w:p>
    <w:p>
      <w:r>
        <w:t>Streitig und zu prüfen ist, ob der Zwangsanschluss durch die Vorinstanz zu Recht erfolgt ist und ob dieser zu befristen ist (E. 5 f.). Des Weiteren zu prüfen ist, ob die Kosten der Beschwerdeführerin auferlegt werden können (E. 7).</w:t>
      </w:r>
    </w:p>
    <w:p>
      <w:r>
        <w:rPr>
          <w:b/>
        </w:rPr>
        <w:t>E. 5.1</w:t>
      </w:r>
    </w:p>
    <w:p>
      <w:r>
        <w:t>Die Beschwerdeführerin macht geltend, sie sei bereits bei einer Vorsorgeeinrichtung angeschlossen und beantragt deshalb, die Verfügung sei aufzuheben, da sonst eine Doppelversicherung vorliege. Als Beleg reicht sie unter anderem eine Bestätigung der Sammelstiftung B._______ ein, welche festhält, dass ein definitiver Versicherungsschutz der Beschwerdeführerin ab 1. August 2019 vorliege (B-act. 1 Beilage).</w:t>
      </w:r>
    </w:p>
    <w:p>
      <w:r>
        <w:rPr>
          <w:b/>
        </w:rPr>
        <w:t>E. 5.2</w:t>
      </w:r>
    </w:p>
    <w:p>
      <w:r>
        <w:t>Mit Vernehmlassung vom 4. Dezember 2020 beantragte die Vorinstanz, die Beschwerde sei teilweise gutzuheissen und der Zwangsanschluss sei neu vom 1. Januar 2018 bis 31. Juli 2019 zu befristen. Die Vorinstanz macht geltend, aufgrund der eingereichten Beschwerdebeilagen, welche einen Anschluss bei der Sammelstiftung B._______ belegten, stehe nur noch die Anschlusspflicht vom 1. Januar 2018 bis 31. Juli 2019 zur Diskussion. Im Jahr 2018 hätten C._______ und D._______ ein versicherungspflichtiges Einkommen erzielt. Im Jahr 2019 habe E._______ für die Beschwerdeführerin gearbeitet und von Januar bis September ein versicherungspflichtiges Einkommen erzielt (B-act. 9). Aufgrund des Anspruches auf eine Freizügigkeitsleistung von C._______ und D._______ liege ein Zwangsanschluss vor und es bestehe eine Versicherungslücke vom 1. Januar 2018 bis 31. Juli 2019, weshalb ein befristeter Zwangsanschluss notwendig sei.</w:t>
      </w:r>
    </w:p>
    <w:p>
      <w:r>
        <w:rPr>
          <w:b/>
        </w:rPr>
        <w:t>E. 5.3</w:t>
      </w:r>
    </w:p>
    <w:p>
      <w:r>
        <w:t>Aus den Akten ergibt sich, dass die Beschwerdeführerin Löhne ausbezahlt hat, welche die Eintrittsschwelle im Jahr 2018 von Fr. 21'150.- und im Jahr 2019 Fr. 21'330.- überschritten haben. So ist aus der Lohnmeldung 2018 ersichtlich, dass die Beschwerdeführerin C._______ für seine ganzjährige Tätigkeit Fr. 22'160.- und D._______ für seine Tätigkeit vom 1. Juni bis 31. Dezember 2018 Fr. 14'000.- ausbezahlt hat und damit beide Löhne - hochgerechnet auf ein Jahr - über der Eintrittsschwelle lagen. Aus der Lohnmeldung 2019 lässt sich ausserdem entnehmen, dass E._______ für ihre Tätigkeit bei der Beschwerdeführerin vom 1. Januar bis 30. September 2019 Fr. 16'850.- verdiente und damit ebenfalls ein hochgerechnetes Jahreseinkommen erzielte, welches über der Eintrittsschwelle lag (vgl. E. 3.1; B-act. 9 Beilage 1, 9 und 10). Die Beschwerdeführerin reichte einen Nachweis ein, welcher bestätigt, dass sie ab 1. August 2019 einer Vorsorgeeinrichtung angeschlossen ist. Somit besteht eine Versicherungslücke vom 1. Januar 2018 bis 31. Juli 2019. Folglich hat die Vorinstanz zu Recht einen Anschluss verfügt. Aufgrund der Tatsache, dass vorliegend für die Zeit vom 1. Januar 2018 bis 31. Juli 2019 eine Versicherungslücke besteht, ist der Anschluss jedoch zu befristen.</w:t>
      </w:r>
    </w:p>
    <w:p>
      <w:r>
        <w:rPr>
          <w:b/>
        </w:rPr>
        <w:t>E. 5.4</w:t>
      </w:r>
    </w:p>
    <w:p>
      <w:r>
        <w:t>Die Beschwerde wird damit insofern gutgeheissen, als die Verfügung anzupassen und der Anschluss vom 1. Januar 2018 bis 31. Juli 2019 zu befristen ist. Da in diesem Fall ein nahtloser Übergang der Versicherung von der Auffangeinrichtung zur B._______ Sammelstiftung stattfindet und damit auch nicht vorsorgerechtlich der gleiche Lohn für die funktionell gleiche hauptberufliche Tätigkeit gleichzeitig versichert wird, liegt auch keine Doppelversicherung vor (vgl. E. 3.3).</w:t>
      </w:r>
    </w:p>
    <w:p>
      <w:r>
        <w:rPr>
          <w:b/>
        </w:rPr>
        <w:t>E. 6.1</w:t>
      </w:r>
    </w:p>
    <w:p>
      <w:r>
        <w:t>Die Beschwerdeführerin macht geltend, die Verfügung sei aufzuheben, und damit sinngemäss auch, dass ihr die Kosten nicht auferlegt werden können. Aufgrund der aussergewöhnlichen Corona-Lage habe sie Schwierigkeiten gehabt, alle Unterlagen zu besorgen und zu erhalten (B-act. 1).</w:t>
      </w:r>
    </w:p>
    <w:p>
      <w:r>
        <w:rPr>
          <w:b/>
        </w:rPr>
        <w:t>E. 6.2</w:t>
      </w:r>
    </w:p>
    <w:p>
      <w:r>
        <w:t>Die Vorinstanz hält dazu fest, die Beschwerdeführerin habe es unterlassen, im Rahmen des rechtlichen Gehörs über den Anschluss bei der B._______ Sammelstiftung zu informieren. Folglich sei von der Vorinstanz zum damaligen Zeitpunkt zu Recht ein unbefristeter Zwangsanschluss verfügt worden und die Beschwerdeführerin habe die Kosten der verspäteten Information zu tragen (B-act. 9).</w:t>
      </w:r>
    </w:p>
    <w:p>
      <w:r>
        <w:rPr>
          <w:b/>
        </w:rPr>
        <w:t>E. 6.3</w:t>
      </w:r>
    </w:p>
    <w:p>
      <w:r>
        <w:t>Aus den Akten ergibt sich, dass die Vorinstanz die Beschwerdeführerin mit Schreiben vom 10. Juli 2019 erstmals aufforderte mitzuteilen, bei welcher Vorsorgeeinrichtung sie angeschlossen sei. Dabei setzte sie der Beschwerdeführerin eine Frist bis zum 18. September 2019, um entsprechende Unterlagen einzureichen. Im Unterlassungsfall müsse ein Zwangsanschluss erfolgen und müssten Kosten für das Anschlussverfahren erhoben werden. Die Beschwerdeführerin bestreitet nicht, das Schreiben erhalten zu haben. Sie reichte auf die Anfrage vom 10. Juli 2019 hin keine Unterlagen ein. Eine Bestätigung des Anschlusses an die B._______ Sammelstiftung lässt sich unter anderem dem Schreiben der B._______ Sammelstiftung vom 3. April 2020 entnehmen, welches noch vor der angefochtenen Verfügung erstellt worden ist und damit von der Beschwerdeführerin hätte vorgelegt werden können (B-act. 9 Beilage 1). Im Zeitpunkt der angefochtenen Verfügung lagen der Vorinstanz somit keine Anhaltspunkte dafür vor, dass ein Anschlussvertrag mit Versicherungsschutz ab 1. August 2019 besteht. Sie durfte folglich nach vorgängiger Androhung gestützt auf die Sach- und Rechtslage zum damaligen Zeitpunkt zu Recht einen Zwangsanschluss verfügen. Vor diesem Hintergrund erweist es sich auch als gerechtfertigt, dass die Vorinstanz der Beschwerdeführerin die (in der Höhe zu Recht unbestrittenen) Kosten der Verfügung vom 13. Mai 2020 auferlegt hat (vgl. E. 3.4).</w:t>
      </w:r>
    </w:p>
    <w:p>
      <w:r>
        <w:rPr>
          <w:b/>
        </w:rPr>
        <w:t>E. 7</w:t>
      </w:r>
    </w:p>
    <w:p>
      <w:r>
        <w:t>Zu befinden bleibt über die Verfahrenskosten und eine allfällige Parteientschädigung.</w:t>
      </w:r>
    </w:p>
    <w:p>
      <w:r>
        <w:rPr>
          <w:b/>
        </w:rPr>
        <w:t>E. 7.1</w:t>
      </w:r>
    </w:p>
    <w:p>
      <w:r>
        <w:t>Gemäss Art. 63 Abs. 1 VwVG werden die Verfahrenskosten in der Regel der unterliegenden Partei auferlegt. Der Ausgang des vorliegenden Verfahrens entspricht einem mehrheitlichen Unterliegen der Beschwerdeführerin, welche damit kostenpflichtig wird. Die Verfahrenskosten werden in Anwendung des Reglements vom 21. Februar 2008 über die Kosten und Entschädigungen vor dem Bundesverwaltungsgericht (VGKE, SR 173.320.2) auf Fr. 800.- festgesetzt. Sie sind der Beschwerdeführerin im Umfang von Fr. 500.- aufzuerlegen und werden mit dem Kostenvorschuss verrechnet. Die Restanz von Fr. 300.- ist der Beschwerdeführerin nach Eintritt der Rechtskraft des vorliegenden Urteils auf ein von ihr zu bezeichnendes Konto zurückzuerstatten. Art. 63 Abs. 2 VwVG sieht vor, dass Vorinstanzen oder beschwerdeführenden und unterliegenden Bundesbehörden keine Verfahrenskosten auferlegt werden.</w:t>
      </w:r>
    </w:p>
    <w:p>
      <w:r>
        <w:rPr>
          <w:b/>
        </w:rPr>
        <w:t>E. 7.2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Der teilweise obsiegenden, jedoch nicht anwaltlich vertretenen Beschwerdeführerin sind keine verhältnismässig hohen Kosten im Sinne von Art. 64 Abs. 1 VwVG entstanden,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