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C-3064/2023 vom 20. Juni 2023</w:t>
      </w:r>
    </w:p>
    <w:p>
      <w:r>
        <w:t>Bundesverwaltungsgericht, 2023-06-20, DE</w:t>
      </w:r>
    </w:p>
    <w:p>
      <w:r>
        <w:rPr>
          <w:b/>
        </w:rPr>
        <w:t xml:space="preserve">Quelle: </w:t>
      </w:r>
      <w:r>
        <w:t>https://mcp.opencaselaw.ch/entscheid/bvger_C-3064_2023</w:t>
      </w:r>
    </w:p>
    <w:p>
      <w:r>
        <w:t>FR: TAF C-3064/2023 du 20 juin 2023</w:t>
      </w:r>
    </w:p>
    <w:p>
      <w:r>
        <w:t>IT: TAF C-3064/2023 del 20 giugno 2023</w:t>
      </w:r>
    </w:p>
    <w:p>
      <w:pPr>
        <w:pStyle w:val="Heading2"/>
      </w:pPr>
      <w:r>
        <w:t>Regeste</w:t>
      </w:r>
    </w:p>
    <w:p>
      <w:r>
        <w:t>Unfallversicherung (Übriges)</w:t>
      </w:r>
    </w:p>
    <w:p>
      <w:pPr>
        <w:pStyle w:val="Heading2"/>
      </w:pPr>
      <w:r>
        <w:t>Erwägungen</w:t>
      </w:r>
    </w:p>
    <w:p>
      <w:r>
        <w:rPr>
          <w:b/>
        </w:rPr>
        <w:t>E. 1</w:t>
      </w:r>
    </w:p>
    <w:p>
      <w:r>
        <w:t>Mai 2023 betreffend Leistungen aus der Unfallversicherung richtet (Ak- ten des Bundesverwaltungsgerichts [BVGer-act.] 1), dass das Bundesverwaltungsgericht seine Zuständigkeit von Amtes wegen prüft und gemäss Art. 31 VGG zur Beurteilung von Beschwerden gegen Verfügungen von Vorinstanzen gemäss Art. 33 VGG zuständig ist, sofern keine Ausnahme nach Art. 32 VGG vorliegt, dass es sich vorliegend um eine Beschwerde betreffend Leistungen aus der Unfallversicherung handelt und das Bundesverwaltungsgericht somit in Anwendung von Art. 32 Abs. 2 Bst. b VGG sowie Art. 109 Bst. a bis c UVG (SR 832.30) e contrario zur Beurteilung der vorliegenden Beschwerde nicht zuständig ist, dass gemäss Art. 8 Abs. 1 VwVG die Behörde, die sich als unzuständig erachtet, die Sache ohne Verzug der zuständigen Behörde überweist, dass gestützt auf Art. 58 Abs. 2 ATSG (SR 830.1) vorliegend von der Zu- ständigkeit des kantonalen Versicherungsgerichts am Ort des letzten schweizerischen Arbeitgebers auszugehen ist, dass aufgrund des Dargelegten auf die Beschwerde vom 26. Mai 2023 im einzelrichterlichen Verfahren nicht einzutreten (Art. 23 Abs. 1 Bst. b VGG) und die Sache zur weiteren Behandlung an das Versicherungsgericht des Kantons B._______ zu überweisen ist, dass ausnahmsweise von der Erhebung von Verfahrenskosten abgesehen wird (Art. 6 Bst. b des Reglements vom 21. Februar 2008 über die Kosten und Entschädigungen vor dem Bundesverwaltungsgericht [VGKE, SR 173.320.2]), dass keine Parteientschädigung auszurichten ist (Art. 7 Abs. 1 und 3 VGKE).</w:t>
      </w:r>
    </w:p>
    <w:p>
      <w:r>
        <w:t>C-3064/2023 Seite 3</w:t>
      </w:r>
    </w:p>
    <w:p>
      <w:r>
        <w:rPr>
          <w:b/>
        </w:rPr>
        <w:t>E. 2</w:t>
      </w:r>
    </w:p>
    <w:p>
      <w:r>
        <w:t>Die Eingabe vom 26. Mai 2023 samt Beilagen (BVGer-act. 1) wird zuständigkeitshalber an das Versicherungsgericht des Kantons B._______ zur weiteren Bearbeitung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das Versicherungsgericht des Kantons B._______, die Vorinstanz und das Bundesamt für Sozialversicherungen. Für die Rechtsmittelbelehrung wird auf die nächste Seite verwiesen. Der Einzelrichter: Die Gerichtsschreiberin: David Weiss Fiona Schneider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