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C-3063/2020 vom 15. Mai 2020</w:t>
      </w:r>
    </w:p>
    <w:p>
      <w:r>
        <w:t>Bundesverwaltungsgericht, 2020-05-15, DE</w:t>
      </w:r>
    </w:p>
    <w:p>
      <w:r>
        <w:rPr>
          <w:b/>
        </w:rPr>
        <w:t xml:space="preserve">Quelle: </w:t>
      </w:r>
      <w:r>
        <w:t>https://mcp.opencaselaw.ch/entscheid/bvger_C-3063_2020_d20200515</w:t>
      </w:r>
    </w:p>
    <w:p>
      <w:r>
        <w:t>FR: TAF C-3063/2020 du 15 mai 2020</w:t>
      </w:r>
    </w:p>
    <w:p>
      <w:r>
        <w:t>IT: TAF C-3063/2020 del 15 maggio 2020</w:t>
      </w:r>
    </w:p>
    <w:p>
      <w:pPr>
        <w:pStyle w:val="Heading2"/>
      </w:pPr>
      <w:r>
        <w:t>Regeste</w:t>
      </w:r>
    </w:p>
    <w:p>
      <w:r>
        <w:t>Verh&amp;uuml;tung Unf&amp;auml;lle und Berufskrankheiten | Unfallversicherung, Arbeitssicherheit, auf ein Jahr befristete Prämienerhöhung, Einspracheentscheid SUVA vom 15. Mai 2020</w:t>
      </w:r>
    </w:p>
    <w:p>
      <w:pPr>
        <w:pStyle w:val="Heading2"/>
      </w:pPr>
      <w:r>
        <w:t>Erwägungen</w:t>
      </w:r>
    </w:p>
    <w:p>
      <w:r>
        <w:rPr>
          <w:b/>
        </w:rPr>
        <w:t>E. 1</w:t>
      </w:r>
    </w:p>
    <w:p>
      <w:r>
        <w:t>Das Bundesverwaltungsgericht ist zur Behandlung der vorliegenden Be- schwerde zuständig (Art. 31, 32 und 33 Bst. e VGG, Art. 109 Bst. b und Bst. c UVG [SR 832.20]), da es sich bei der vorliegend strittigen Prämien- erhöhung gemäss Art. 92 Abs. 3 UVG um eine Massnahme der Unfallver- hütung handelt (BGE 116 V 255 E. 2), welche gemäss Art. 109 Bst. c UVG im Beschwerdefall vom Bundesverwaltungsgericht zu überprüfen ist. Die Beschwerdeführerin hat am vorinstanzlichen Verfahren teilgenommen und ist als Adressatin der angefochtenen Verfügung zur Erhebung der Be- schwerde legitimiert (Art. 48 Abs. 1 VwVG; vgl. auch Art. 59 ATSG [SR 830.1]). Nachdem der Kostenvorschuss fristgerecht geleistet wurde, ist auf die frist- und formgerecht eingereichte Beschwerde vom 12. Juni 2020 einzutreten (Art. 38 Abs. 1 ATSG; vgl. auch Art. 50 Abs. 1, 52 Abs. 1 und 63 Abs. 4 VwVG).</w:t>
      </w:r>
    </w:p>
    <w:p>
      <w:r>
        <w:rPr>
          <w:b/>
        </w:rPr>
        <w:t>E. 2.1</w:t>
      </w:r>
    </w:p>
    <w:p>
      <w:r>
        <w:t>Anfechtungsobjekt bildet der Einspracheentscheid der Vorinstanz vom 15. Mai 2020, mit welchem die Einsprache der Beschwerdeführerin gegen die in Anwendung von Art. 92 Abs. 3 UVG und Art. 66 VUV i.V.m. Art. 113 Abs. 2 der Verordnung über die Unfallversicherung vom 20. Dezember 1982 (UVV, SR 832.202) verfügte Höhereinreihung im Prämientarif abge- wiesen wurde.</w:t>
      </w:r>
    </w:p>
    <w:p>
      <w:r>
        <w:rPr>
          <w:b/>
        </w:rPr>
        <w:t>E. 2.2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t>C-3063/2020 Seite 7</w:t>
      </w:r>
    </w:p>
    <w:p>
      <w:r>
        <w:rPr>
          <w:b/>
        </w:rPr>
        <w:t>E. 2.3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m.H.; siehe zum Ganzen auch HANGARTNER, Behördenrechtliche Kogniti- onsbeschränkungen in der Verwaltungsrechtspflege, in: Bovay/Nguyen [Hrsg.], Mélanges en l'honneur de Pierre Moor, 2005, S. 319 ff.; FEL- LER/MÜLLER, Die Prüfungszuständigkeit des Bundesverwaltungsgerichts – Probleme in der praktischen Umsetzung, ZBl 110/2009 S. 442 ff.).</w:t>
      </w:r>
    </w:p>
    <w:p>
      <w:r>
        <w:rPr>
          <w:b/>
        </w:rPr>
        <w:t>E. 2.4</w:t>
      </w:r>
    </w:p>
    <w:p>
      <w:r>
        <w:t>Nach dem vorstehend Dargelegten ist somit einzig streitig und zu prü- fen, ob die von der Vorinstanz mit dem angefochtenen Einspracheent- scheid vom 15. Mai 2020 bestätigte, auf ein Jahr (1. Januar - 31. Dezember 2020) befristete Prämienerhöhung rechtmässig ist.</w:t>
      </w:r>
    </w:p>
    <w:p>
      <w:r>
        <w:rPr>
          <w:b/>
        </w:rPr>
        <w:t>E. 3</w:t>
      </w:r>
    </w:p>
    <w:p>
      <w:r>
        <w:t>In den nachfolgenden Erwägungen ist zu prüfen, ob die Vorinstanz mit dem angefochtenen Einspracheentscheid die von der Beschwerdeführerin für das Jahr 2020 zu leistende BUV-Prämie zu Recht infolge Zuwiderhandlun- gen gegen die Arbeitssicherheitsvorschriften um vier Stufen erhöht hat.</w:t>
      </w:r>
    </w:p>
    <w:p>
      <w:r>
        <w:rPr>
          <w:b/>
        </w:rPr>
        <w:t>E. 3.1</w:t>
      </w:r>
    </w:p>
    <w:p>
      <w:r>
        <w:t>Der Vollzug der Bestimmungen über die Verhütung von Berufsunfällen und Berufskrankheiten obliegt gemäss Art. 85 Abs. 1 UVG den Durchfüh- rungsorganen des Arbeitsgesetzes vom 13. März 1964 (ArG, SR 822.11) und der SUVA. Zu ergänzen ist, dass die in Anwendung von Art. 85 Abs. 2 UVG eingesetzte Eidgenössische Kommission für Arbeitssicherheit</w:t>
      </w:r>
    </w:p>
    <w:p>
      <w:r>
        <w:t>C-3063/2020 Seite 8 (EKAS) die einzelnen Durchführungsbereiche aufeinander abstimmt, so- 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 besondere Ausführungsbestimmungen zum Verfahren erlassen (Art. 85 Abs. 4 UVG i.V.m. Art. 53 Bst. a VUV), was sie mit dem Leitfaden für das Durchführungsverfahren in der Arbeitssicherheit (nachfolgend: EKAS-Leit- faden, 6. Aufl. März 2020) gemacht hat. Die EKAS-Richtlinien stellen nicht unmittelbar verbindliches Recht dar, sondern sind konkretisierende Be- stimmungen, welche den Arbeitgeber nicht verpflichten (vgl. EKAS-Leitfa- den Ziff. 2.3.3). Gleiches gilt auch für den EKAS-Leitfaden, welcher den Durchführungsorganen, die den Vollzug der gesetzlichen Vorschriften be- treffend Arbeitssicherheit zu überwachen und notfalls durchzusetzen ha- ben, Anleitungen gibt in der Absicht, ein einheitliches und rechtsgleiches Vorgehen in der Praxis zu fördern (EKAS-Leitfaden Ziff. 1; vgl. auch Art. 52a Abs. 1 VUV).</w:t>
      </w:r>
    </w:p>
    <w:p>
      <w:r>
        <w:rPr>
          <w:b/>
        </w:rPr>
        <w:t>E. 3.2</w:t>
      </w:r>
    </w:p>
    <w:p>
      <w:r>
        <w:t>Nach Art. 92 Abs. 3 UVG können die Betriebe bei Zuwiderhandlung ge- gen Vorschriften über die Verhütung von Unfällen und Berufskrankheiten jederzeit und auch rückwirkend in eine höhere Gefahrenstufe versetzt wer- 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 ensatz der höchsten Stufe der betreffenden Klasse entsprechend erhöht. Laut Art. 66 Abs. 1 VUV kann ein Betrieb in eine höhere Stufe des Prämi- entarifs versetzt werden, sofern der Arbeitgeber einer vollstreckbaren Ver- 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 führungsorgan eine Kopie dieser Verfügung erhält (Art. 66 Abs. 2 VUV).</w:t>
      </w:r>
    </w:p>
    <w:p>
      <w:r>
        <w:rPr>
          <w:b/>
        </w:rPr>
        <w:t>E. 3.3.1</w:t>
      </w:r>
    </w:p>
    <w:p>
      <w:r>
        <w:t>Laut Ziff. 4.2 des EKAS-Leitfadens für das Durchführungsverfahren in der Arbeitssicherheit erlaubt das ordentliche Durchführungsverfahren den zuständigen Organen, die Unfallverhütungsvorschriften in den Betrie-</w:t>
      </w:r>
    </w:p>
    <w:p>
      <w:r>
        <w:t>C-3063/2020 Seite 9 ben durchzusetzen. Gemäss Ziff. 5.2.1 des EKAS-Leitfadens greift in Fäl- len, in denen ein sicherheitswidriger Zustand nur vorübergehend und wäh- rend verhältnismässig kurzer Zeit besteht (etwa bei Bau-, Installations- und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(Ziff. 5.2.2 und 5.2.3).</w:t>
      </w:r>
    </w:p>
    <w:p>
      <w:r>
        <w:rPr>
          <w:b/>
        </w:rPr>
        <w:t>E. 3.3.2</w:t>
      </w:r>
    </w:p>
    <w:p>
      <w:r>
        <w:t>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 Je nach Bedeutung des Verstosses kann und soll das Verfahren indes abgekürzt werden. Die Prämienerhöhung kann daher bereits nach der ersten Feststellung angeordnet werden, sofern dem Betrieb vorgängig das rechtliche Gehör gewährt worden ist.</w:t>
      </w:r>
    </w:p>
    <w:p>
      <w:r>
        <w:rPr>
          <w:b/>
        </w:rPr>
        <w:t>E. 4</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4.1</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weitere Verord- nungen erlassen, in welchen die Anforderungen an die Arbeitssicherheit für bestimmte Tätigkeiten konkretisiert werden. Dazu gehört namentlich auch die BauAV.</w:t>
      </w:r>
    </w:p>
    <w:p>
      <w:r>
        <w:rPr>
          <w:b/>
        </w:rPr>
        <w:t>E. 4.2</w:t>
      </w:r>
    </w:p>
    <w:p>
      <w:r>
        <w:t>Vorliegend sind insbesondere die folgenden Bestimmungen relevant:</w:t>
      </w:r>
    </w:p>
    <w:p>
      <w:r>
        <w:t>C-3063/2020 Seite 10</w:t>
      </w:r>
    </w:p>
    <w:p>
      <w:r>
        <w:rPr>
          <w:b/>
        </w:rPr>
        <w:t>E. 4.2.1</w:t>
      </w:r>
    </w:p>
    <w:p>
      <w:r>
        <w:t>Gemäss Art. 3 Abs. 1 VUV muss der Arbeitgeber zur Wahrung der Arbeitssicherheit alle Anordnungen und Schutzmassnahmen treffen, die den Vorschriften der VUV und den für seinen Betrieb sonst geltenden Vor- schriften über die Arbeitssicherheit sowie im Übrigen den anerkannten si- cherheitstechnischen und arbeitsmedizinischen Regeln entsprechen. Der Arbeitgeber muss dafür sorgen, dass die Schutzmassnahmen und Schutz- einrichtungen in ihrer Wirksamkeit nicht beeinträchtigt werden. Er hat dies in angemessenen Zeitabständen zu überprüfen (Art. 3 Abs. 2 VUV). Können Unfall- und Gesundheitsgefahren durch technische oder organisa- torische Massnahmen nicht oder nicht vollständig ausgeschlossen werden, so muss der Arbeitgeber den Arbeitnehmern zumutbare und wirksame per- sönliche Schutzausrüstungen wie Schutzhelme, Haarnetze, Schutzbrillen, Schutzschilde, Gehörschutzmittel, Atemschutzgeräte, Schutzschuhe, Schutzhandschuhe, Schutzkleidung, Schutzgeräte gegen Absturz und Er- trinken, Hautschutzmittel sowie nötigenfalls auch besondere Wäschestü- cke zur Verfügung stellen. Er muss dafür sorgen, dass diese jederzeit be- stimmungsgemäss verwendet werden können (Art. 5 Abs. 1 VUV). Ist der gleichzeitige Einsatz mehrerer persönlicher Schutzausrüstungen notwen- dig, so muss der Arbeitgeber dafür sorgen, dass diese aufeinander abge- stimmt werden und ihre Wirksamkeit nicht beeinträchtigt wird (Art. 5 Abs. 2 VUV). Der Arbeitgeber sorgt dafür, dass alle in seinem Betrieb beschäftigten Ar- 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Mass- nahmen der Arbeitssicherheit einhalten (Art. 6 Abs. 3 VUV). Der Arbeitgeber darf Arbeiten mit besonderen Gefahren nur Arbeitnehmern übertragen, die dafür entsprechend ausgebildet sind. Wird eine gefährliche Arbeit von einem Arbeitnehmer allein ausgeführt, so muss ihn der Arbeit- geber überwachen lassen (Art. 8 Abs. 1 VUV). Bei Arbeiten mit besonderen Gefahren müssen die Zahl der Arbeitnehmer sowie die Anzahl oder die Menge der gefahrbringenden Einrichtungen, Arbeitsmittel und Stoffe auf das Nötige beschränkt sein (Art. 8 Abs. 2 VUV).</w:t>
      </w:r>
    </w:p>
    <w:p>
      <w:r>
        <w:t>C-3063/2020 Seite 11 Arbeitsmittel müssen bestimmungsgemäss verwendet werden. Insbeson- dere dürfen sie nur für Arbeiten und an Orten eingesetzt werden, wofür sie geeignet sind. Vorgaben des Herstellers über die Verwendung des Arbeits- mittels sind zu berücksichtigen (Art. 32a Abs. 1 VUV).</w:t>
      </w:r>
    </w:p>
    <w:p>
      <w:r>
        <w:rPr>
          <w:b/>
        </w:rPr>
        <w:t>E. 4.2.2</w:t>
      </w:r>
    </w:p>
    <w:p>
      <w:r>
        <w:t>Bauarbeiten müssen so geplant werden, dass das Risiko von Berufs- unfällen, Berufskrankheiten oder Gesundheitsbeeinträchtigungen mög- lichst klein ist und die notwendigen Sicherheitsmassnahmen, namentlich bei der Verwendung von Arbeitsmitteln, eingehalten werden können (Art. 3 Abs. 1 BauAV). Die Rettung von Verunfallten muss gewährleistet sein (Art. 7 Abs. 1 BauAV). Es dürfen nur Leitern verwendet werden, die insbesondere bezüglich Be- lastbarkeit und Standfestigkeit für die beabsichtigten Arbeiten geeignet sind (Art. 14 Abs. 1 BauAV). Beschädigte Leitern dürfen nicht benützt wer- den. Sie sind fachgerecht in Stand zu stellen oder unbenutzbar zu machen (Art. 14 Abs. 2 BauAV). Leitern müssen auf einer tragfähigen Unterlage stehen und gegen Wegrutschen, Drehen und Kippen gesichert sein (Art. 14 Abs. 3 BauAV). Der Leiternstandort ist so zu wählen, dass keine Gefahr besteht, durch herabfallende Gegenstände oder Materialien getroffen zu werden (Art. 14 Abs. 4 BauAV). Die obersten drei Sprossen von Leitern dürfen nur dann bestiegen werden, wenn beim Austritt eine Plattform und eine Haltevorrichtung vorhanden sind (Art. 14 Abs. 5 BauAV). Ein Seitenschutz ist zu verwenden bei ungeschützten Stellen mit einer Ab- sturzhöhe von mehr als 2 m und bei solchen im Bereich von Gewässern und Böschungen (Art. 15 Abs. 1 BauAV). Wo das Anbringen eines Seiten- schutzes nach Art. 16 oder eines Gerüstes nach Art. 18 BauAV technisch nicht möglich oder zu gefährlich ist, sind Fanggerüste, Auffangnetze oder Seilsicherungen zu verwenden oder gleichwertige Schutzmassnahmen zu treffen (Art. 19 Abs. 1 BauAV). Die Absturzhöhe bei Abstürzen in ein Schutznetz darf nicht mehr als 6 m, diejenige bei Abstürzen in ein Fangge- rüst nicht mehr als 3 m betragen (Art. 19 Abs. 2 BauAV). An Dachrändern, auch an giebelseitigen Dachrändern, sind ab einer Absturzhöhe von 3 m Massnahmen zu treffen, um Abstürze zu verhindern (Art. 28 Abs. 1 BauAV). In Art. 29 BauAV sind Massnahmen an Dachrändern geregelt.</w:t>
      </w:r>
    </w:p>
    <w:p>
      <w:r>
        <w:rPr>
          <w:b/>
        </w:rPr>
        <w:t>E. 4.3</w:t>
      </w:r>
    </w:p>
    <w:p>
      <w:r>
        <w:t>Im Sozialversicherungsrecht gilt grundsätzlich der Beweisgrad der überwiegenden Wahrscheinlichkeit. Dieser Grad übersteigt einerseits die Annahme einer blossen Möglichkeit beziehungsweise einer Hypothese</w:t>
      </w:r>
    </w:p>
    <w:p>
      <w:r>
        <w:t>C-3063/2020 Seite 12 und liegt andererseits unter demjenigen der strikten Annahme der zu be- weisenden Tatsache. Die Wahrscheinlichkeit ist insoweit überwiegend, als der begründeten Überzeugung keine konkreten Einwände entgegenstehen (UELI KIESER, ATSG-Kommentar, 4. Aufl. 2020, Art. Art. 43 Rz. 53 und 59 ff.). Ausserdem gilt der Grundsatz der freien Beweiswürdigung. Danach ist für den Beweiswert grundsätzlich weder die Herkunft eines Beweismittels noch dessen Kennzeichnung massgebend (KIESER, a.a.O., Art. 43 Rz. 61 ff.; BGE 125 V 352 E. 3a; 122 V 157 E. 1c). Das Sozialversicherungsgericht hat somit alle Beweismittel, unabhängig davon, von wem sie stammen, ob- 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 res Gewicht zukommt (BGE 121 V 45 E. 2a; 143 V 168 E. 5.2.2). Der Sach- verhalt ist gestützt auf den Untersuchungsgrundsatz von der Behörde so- weit zu ermitteln, dass über die infrage stehende Tatsache zumindest mit dem Beweisgrad der überwiegenden Wahrscheinlichkeit entschieden wer- den kann (KIESER, a.a.O., Art. 43 Rz. 20 m.H.). Beweislosigkeit wird ange- nommen, wenn der Sachverhalt nicht mit überwiegender Wahrscheinlich- keit als erstellt betrachtet werden kann (KIESER, a.a.O., Art. 43 Rz. 68 ff. m.H.).</w:t>
      </w:r>
    </w:p>
    <w:p>
      <w:r>
        <w:rPr>
          <w:b/>
        </w:rPr>
        <w:t>E. 5.1</w:t>
      </w:r>
    </w:p>
    <w:p>
      <w:r>
        <w:t>Anlässlich der Baustellenkontrolle vom 5. Februar 2020 auf der Bau- stelle in H._______ ([…]) stellte die Vorinstanz mehrere sicherheitswidrige Zustände fest und machte zulasten der Beschwerdeführerin im Wesentli- chen Zuwiderhandlungen gegen die folgenden Vorschriften geltend: Art. 15 Abs. 1 BauAV (wegen fehlender Seitenschutzsicherung von Arbeitsplätzen mit einer Absturzhöhe von 4 m und von Zugängen und Verkehrswegen mit einer Absturzhöhe von 4 m); Art. 19 BauAV sowie Art. 5, 8 und 32a Abs. 1 VUV (wegen falschem oder fehlendem Einsatz der Persönlichen Schutz- ausrüstung gegen Absturz [PSAgA] und mangels Gewährleistung der Ret- tung bei PSAgA sowie wegen Verletzung grundsätzlicher Sicherheitsregeln beim Einsatz von Hebebühnen); Art. 3 Abs. 1 BauAV (wegen fehlender Um- setzung der Planung auf den Baustellen durch die Mitarbeitenden; vgl. Bst. D.a und D.e sowie act. 5 und act. 10). Bereits anlässlich der Kontrolle vom 6. August 2019 auf der Baustelle in G._______ ([…]) stellte die Vorinstanz mehrere sicherheitswidrige Zu-</w:t>
      </w:r>
    </w:p>
    <w:p>
      <w:r>
        <w:t>C-3063/2020 Seite 13 stände fest und machte zulasten der Beschwerdeführerin Zuwiderhandlun- gen gegen Art. 28 und 29 BauAV (wegen fehlender resp. ungenügender Sicherheitsmassnahmen am Dachrand bei einer Absturzhöhe von 4,7 m) sowie Art. 32a VUV und Art. 14 BauAV (wegen nicht korrekter Verwendung der Anstellleiter) geltend. Aufgrund dieser Mängel sprach die Vorinstanz gegenüber der Beschwerdeführerin am 20. August 2019 die Ermahnung Stufe drei aus (vgl. Bst. C.c sowie act. 16).</w:t>
      </w:r>
    </w:p>
    <w:p>
      <w:r>
        <w:rPr>
          <w:b/>
        </w:rPr>
        <w:t>E. 5.2</w:t>
      </w:r>
    </w:p>
    <w:p>
      <w:r>
        <w:t>Die Beschwerdeführerin bestritt weder die anlässlich der Baustellen- kontrolle vom 5. Februar 2020 festgestellten und im angefochtenen Ein- spracheentscheid vom 15. Mai 2020 erwähnten, noch die in der Ermah- nung Stufe drei vom 20. August 2019 aufgeführten Verletzungen von Ar- beitssicherheitsvorschriften.</w:t>
      </w:r>
    </w:p>
    <w:p>
      <w:r>
        <w:rPr>
          <w:b/>
        </w:rPr>
        <w:t>E. 5.2.1</w:t>
      </w:r>
    </w:p>
    <w:p>
      <w:r>
        <w:t>Die Beschwerdeführerin brachte dagegen lediglich vor, dass die Ver- letzung der Vorschriften nicht ihr anzulasten sei, da sie sämtlichen Pflichten der Gesundheitsprävention nachgekommen sei, sondern vielmehr ihren Mitarbeitenden, die sich weisungswidrig verhalten hätten. So liege im vor- liegenden Fall eine Verletzung von Art. 11 Abs. 1 VUV, der die Arbeitneh- mer in die Pflicht nehme, vor. Folglich sei der fehlbare Arbeitnehmer zu sanktionieren. Da gemäss Art. 11 Abs. 1 VUV durch das Wort "muss" eine Verpflichtung des Arbeitnehmers einhergehe, müsse dies auch eine Sank- tion des Arbeitnehmers zur Folge haben. Es sei offensichtlich, dass es sich hierbei um eine Lücke im Gesetz oder in der Verordnung handle. Die Ver- antwortung durch die Nichteinhaltung könne nicht beim Arbeitgeber liegen, wenn er nachweislich alle gesetzlichen Pflichten erfüllt habe. Dass doku- mentierte Schulungen und schriftliche Bestätigungen nicht ausreichen wür- den, sei irritierend. Gemäss Einspracheentscheid der Vorinstanz sei sei- tens der Beschwerdeführerin alles unternommen worden, um die Verlet- zung von Sicherheitsvorschriften durch Mitarbeitende zu verhindern. Der beim "Vorfall" vom 5. Februar 2020 beteiligte Mitarbeitende sei in der Zwi- schenzeit aus der Unternehmung ausgetreten. Die Beschwerdeführerin sei somit der mehrfach genannten Empfehlung der Vorinstanz nachgekom- men, dass bei fehlbaren Mitarbeitenden das Arbeitsverhältnis aufzulösen sei, um Gefahren- und Kostenpotential zu minimieren. Dass sich die Vor- instanz im Entscheid vom 15. Mai 2020 von dieser mehrfachen Empfeh- lung distanziere, sei nicht nachvollziehbar. Deshalb stelle sich auch die Frage der "Compliance", da die Vorinstanz gleichzeitig als Versicherer, Be- ratungsunternehmen und als Kontrollorgan auftrete. Eine Vermischung der Aufgaben führe offensichtlich zu solchen Aussagen (vgl. BVGer-act. 1 so- wie Bst. D.b und D.d sowie act. 6, act. 9, act. 14).</w:t>
      </w:r>
    </w:p>
    <w:p>
      <w:r>
        <w:t>C-3063/2020 Seite 14</w:t>
      </w:r>
    </w:p>
    <w:p>
      <w:r>
        <w:rPr>
          <w:b/>
        </w:rPr>
        <w:t>E. 5.2.2</w:t>
      </w:r>
    </w:p>
    <w:p>
      <w:r>
        <w:t>Dagegen wendet die Vorinstanz ein, nach Art. 6 Abs. 3 VUV habe der Arbeitgeber dafür zu sorgen, dass die Arbeitnehmer die Massnahmen der Arbeitssicherheit einhielten. Dies habe die Beschwerdeführerin offensicht- lich unterlassen. Dokumentierte Schulungen, schriftliche Bestätigungen usw. würden nicht ausreichen, um die gesetzliche Pflicht zu erfüllen. Die VUV sehe keine Sanktionen gegen Arbeitnehmer vor, wenn diese ihre Pflichten verletzten. Mangels einer gesetzlichen Grundlage sei es der Vor- instanz somit nicht gestattet, gegen Arbeitnehmer, die sich nicht an ihre Pflichten hielten, vorzugehen. Dass sich Betriebe von renitenten Mitarbei- tern, die sich partout nicht an die Vorschriften der Arbeitssicherheit halten, trennen sollten, sei keine Empfehlung ihrerseits, sondern es handle sich um eine reine Feststellung. Die Kündigung eines Arbeitsverhältnisses durch den Arbeitgeber sei eine reine arbeitsvertragliche Massnahme, wel- che mit der SUVA nichts zu tun habe. Mit der Durchführung von Schulun- gen und Instruktionen komme die Beschwerdeführerin lediglich ihren Ver- pflichtungen aus Art. 6 Abs. 1 VUV nach. Daraus könne keine Vorzugsbe- handlung für den Betrieb resultieren. Es genüge jedoch nicht, qualitativ hochstehende Unterlagen zu haben, wenn diese nicht umgesetzt würden. Nach Art. 6 Abs. 3 VUV habe der Arbeitgeber dafür zu sorgen, dass die Arbeitnehmer die Massnahmen der Arbeitssicherheit einhielten. Dies habe die Beschwerdeführerin offensichtlich unterlassen und deshalb nicht alle ihre Pflichten erfüllt.</w:t>
      </w:r>
    </w:p>
    <w:p>
      <w:r>
        <w:rPr>
          <w:b/>
        </w:rPr>
        <w:t>E. 5.3</w:t>
      </w:r>
    </w:p>
    <w:p>
      <w:r>
        <w:t>Art. 82 UVG, der vorweg den Arbeitgeber in die Pflicht nimmt, alle not- wendigen Massnahmen zu treffen, um Berufsunfälle und Berufskrankhei- ten zu vermeiden, hat zwingenden Charakter (vgl. auch Urteil des Bundes- gerichts 6S.447/2003 vom 1. April 2004 E. 3.1). Zudem schreibt Art. 6 Abs. 3 VUV vor, dass Arbeitgeber dafür zu sorgen haben, dass die Arbeit- nehmer die Massnahmen der Arbeitssicherheit einhalten. Art. 7 Abs. 2 VUV wiederum hält fest, dass die Übertragung von Aufgaben an einen Arbeit- nehmer den Arbeitgeber nicht von seinen Verpflichtungen zur Gewährleis- tung der Arbeitssicherheit entbindet. Letztlich ist immer der Arbeitgeber für die Einhaltung der Sicherheitsvorschriften verantwortlich. Direkte präven- tive Sanktionierungsmöglichkeiten gegenüber Arbeitnehmern wegen Ver- letzung von Sicherheitsvorschriften sind im UVG und auch in der VUV nicht vorgesehen. Eine Lücke im Sinne einer planwidrigen Unvollständigkeit des positiven Rechts ist vorliegend nicht ersichtlich. Es bleibt dem Arbeitgeber überlassen, allenfalls fehlbare Mitarbeiter im Rahmen der arbeitsvertragli- chen Regelung zur Verantwortung zu ziehen (Urteil des BVGer C-5278/2010 vom 22. Oktober 2012 E. 4.2.4.3). In diesem Sinne ist der Vorinstanz beizupflichten, dass dokumentierte Schulungen und schriftliche</w:t>
      </w:r>
    </w:p>
    <w:p>
      <w:r>
        <w:t>C-3063/2020 Seite 15 Bestätigungen usw. durch die Beschwerdeführerin nicht ausreichen, um Berufsunfälle und Berufskrankheiten zu vermeiden. Die geltend gemach- ten verschiedenen Rollen der Vorinstanz sind nicht Gegenstand des vor- liegenden Beschwerdeverfahrens. Das Bundesverwaltungsgericht prüft le- diglich, ob die Vorinstanz die gesetzlichen Regelungen beachtet und richtig angewendet hat.</w:t>
      </w:r>
    </w:p>
    <w:p>
      <w:r>
        <w:rPr>
          <w:b/>
        </w:rPr>
        <w:t>E. 5.4</w:t>
      </w:r>
    </w:p>
    <w:p>
      <w:r>
        <w:t>Nach dem Gesagten ist festzustellen, dass aufgrund der vorliegenden Akten erstellt ist, dass die Beschwerdeführerin auf der Baustelle in H._______ ([…]) gegen die im Einsprachentsscheid vom 15. Mai 2020 auf- geführten Arbeitssicherheitsvorschriften, d.h. gegen Art. 15 Abs. 1 und Art. 19 BauAV, Art. 5, 8 und 32a Abs. 1 VUV sowie Art. 3 Abs. 1 BauAV i.V.m. Art. 6 Abs. 3 VUV, verstossen hat. Ferner ist aufgrund der vorliegen- den Akten erstellt, dass die Beschwerdeführerin weniger als ein halbes Jahr davor, auf der Baustelle in G._______ ([…]), bereits gegen Arbeitssi- cherheitsvorschriften, d.h. gegen Art. 14, 28 und 29 BauAV sowie Art. 32a VUV, verstossen hat.</w:t>
      </w:r>
    </w:p>
    <w:p>
      <w:r>
        <w:rPr>
          <w:b/>
        </w:rPr>
        <w:t>E. 6</w:t>
      </w:r>
    </w:p>
    <w:p>
      <w:r>
        <w:t>Im Folgenden bleibt zu prüfen, ob die hier streitige Höhereinreihung der Beschwerdeführerin im BUV-Prämientarif in korrekter Anwendung der massgeblichen Rechtsnormen, insbesondere der gesetzlichen Zuständig- keitsregeln und unter Beachtung der allgemeinen Grundsätze des Verwal- tungshandelns verfügt wurde.</w:t>
      </w:r>
    </w:p>
    <w:p>
      <w:r>
        <w:rPr>
          <w:b/>
        </w:rPr>
        <w:t>E. 6.1</w:t>
      </w:r>
    </w:p>
    <w:p>
      <w:r>
        <w:t>Gemäss Art. 66 Abs. 2 VUV ordnet das zuständige Durchführungsor- gan die Prämienerhöhung nach Art. 113 Abs. 2 UVV an, welche vom zu- ständigen Versicherer unverzüglich verfügt werden muss. In Betrieben des Baugewerbes und bei Arbeiten anderer Betriebe auf deren Baustellen be- 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Ebenso wenig zu erläutern ist die unstreitige versicherungs- rechtliche Unterstellung des hier zur Diskussion stehenden Betriebs unter die SUVA, welche sich aus Art. 66 Abs. 1 Bst. b UVG i.V.m. Art. 73 UVV ergibt. Vorliegend war die SUVA demnach sowohl für die Anordnung der streitigen Prämienerhöhung als auch für den Erlass der entsprechenden Verfügung zuständig.</w:t>
      </w:r>
    </w:p>
    <w:p>
      <w:r>
        <w:t>C-3063/2020 Seite 16</w:t>
      </w:r>
    </w:p>
    <w:p>
      <w:r>
        <w:rPr>
          <w:b/>
        </w:rPr>
        <w:t>E. 6.2</w:t>
      </w:r>
    </w:p>
    <w:p>
      <w:r>
        <w:t>Nach Art. 113 Abs. 2 UVV erfolgt wegen Zuwiderhandlung gegen Vor- 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 sche Versicherungsgericht (EVG, heute: BGer) hat diese Ordnung grund- sätzlich als mit dem Verhältnismässigkeitsprinzip und dem Willkürverbot vereinbar bezeichnet (Urteil des EVG U 240/03 vom 2. Juni 2004 E. 6.3 m.H. auf BGE 116 V 255 E. 4b und c, veröffentlicht in: RKUV 2004 Nr. U 525 S. 549 ff.). Die verfügte Sanktion muss sich aber auch im Einzel- fall als verhältnismässig erweisen (BGE 116 V 255 E. 4b; Urteil des BVGer C-4640/2007 vom 9. März 2009 E. 4.2.2 m.H.).</w:t>
      </w:r>
    </w:p>
    <w:p>
      <w:r>
        <w:rPr>
          <w:b/>
        </w:rPr>
        <w:t>E. 6.3</w:t>
      </w:r>
    </w:p>
    <w:p>
      <w:r>
        <w:t>Die Beschwerdeführerin wurde von der Vorinstanz rückwirkend für das Jahr 2020 im BUV-Prämientarif um vier Stufen höher eingereiht. Der Prä- miensatz wurde von 2.5050% (Stufe 100) auf 3.0400% (Stufe 104) und damit um 21.3570% erhöht. Diese Höhereinreihung entspricht den Vorga- ben von Art. 113 Abs. 2 UVV.</w:t>
      </w:r>
    </w:p>
    <w:p>
      <w:r>
        <w:rPr>
          <w:b/>
        </w:rPr>
        <w:t>E. 6.4</w:t>
      </w:r>
    </w:p>
    <w:p>
      <w:r>
        <w:t>Was die Beschwerdeführerin dagegen einwendet, erweist sich aus den nachfolgenden Gründen als nicht stichhaltig.</w:t>
      </w:r>
    </w:p>
    <w:p>
      <w:r>
        <w:rPr>
          <w:b/>
        </w:rPr>
        <w:t>E. 6.4.1.1</w:t>
      </w:r>
    </w:p>
    <w:p>
      <w:r>
        <w:t>Die Beschwerdeführerin rügt eine Verletzung des Verhältnismäs- sigkeitsprinzips. Es sei ein Affront, wenn die Vorinstanz in ihrem Schreiben erwähne, dass sie mehrmals ähnliche Mängel habe feststellen müssen und sie als Arbeitgeberin nicht dafür sorge, dass ihre Mitarbeitenden die Vor- schriften einhalten würden. Eine Differenzierung der Situation werde offen- sichtlich nicht vorgenommen und komplett ausgeblendet. Gemäss Ein- spracheentscheid der Vorinstanz habe die Beschwerdeführerin denn auch alles unternommen, um die Verletzung von Sicherheitsvorschriften durch Mitarbeitende zu verhindern. Eine Prämienerhöhung um 12% (Fr. 30'057.15) sei vor diesem Hintergrund völlig unangemessen.</w:t>
      </w:r>
    </w:p>
    <w:p>
      <w:r>
        <w:rPr>
          <w:b/>
        </w:rPr>
        <w:t>E. 6.4.1.2</w:t>
      </w:r>
    </w:p>
    <w:p>
      <w:r>
        <w:t>Die Rechtsprechung erachtet die im EKAS-Leitfaden enthaltene Regel, wonach im Normalfall (sofern nicht ein besonders gravierender Verstoss vorliegt oder die Verletzung von Vorschriften zu einem Unfall ge- führt hat) drei Ermahnungen ausgesprochen werden und bei der vierten Feststellung eines sicherheitswidrigen Zustandes eine Prämienerhöhung verfügt wird, als Ausdruck des Verhältnismässigkeitsgrundsatzes (BVGE</w:t>
      </w:r>
    </w:p>
    <w:p>
      <w:r>
        <w:t>C-3063/2020 Seite 17 2010/37 E. 2.4.2.2). Dies gilt insbesondere vor einer erstmaligen Sanktion (Urteil des BVGer C-6018/2008 vom 25. November 2010 E. 6.2.4; vgl. auch Urteile des BVGer C-5278/2010 E. 4.2.3 sowie C-852/2013 vom 17. De- zember 2015 E. 4.2.6.2 und C-1545/2018 vom 1. Oktober 2020 E. 6.4.2).</w:t>
      </w:r>
    </w:p>
    <w:p>
      <w:r>
        <w:rPr>
          <w:b/>
        </w:rPr>
        <w:t>E. 6.4.1.3</w:t>
      </w:r>
    </w:p>
    <w:p>
      <w:r>
        <w:t>Für das Jahr 2016 ordnete die Vorinstanz gegenüber der Be- schwerdeführerin bereits einmal eine rückwirkende Versetzung in eine hö- here Stufe des Prämientarifs an (vgl. Verfügung vom 12. Januar 2017 und Einspracheentscheid vom 8. Mai 2017, act. 36 und 39). Am 20. August 2019 wurde anlässlich einer Kontrolle auf der Baustelle "[…]" in G._______ festgestellt, dass bei einer Absturzhöhe von 4,7 m Sicherheitsmassnah- men am Dachrand gefehlt oder ungenügend gewesen seien, die Anstelllei- ter nicht korrekt verwendet worden sei und das Baustellenpersonal die "Neun lebenswichtigen Regeln für das Arbeiten auf Dächern und an Fas- saden" nicht ausreichend gekannt habe, worauf die Vorinstanz eine Er- mahnung Stufe drei verfügte und bei einem weiteren Verstoss gegen Un- fallschutzvorschriften eine Versetzung in eine höhere Prämienstufe an- drohte. Dazu wurde der Beschwerdeführerin das rechtliche Gehör gewährt (Bst. C.c, act. 16). Fünf Monate und ein paar Tage später (5. Februar 2020) wurden anlässlich einer vorinstanzlichen Baustellenkontrolle erneute Wi- derhandlungen der Beschwerdeführerin gegen Vorschriften über die Ver- hütung von Unfällen festgestellt (Bst. D.a, act. 10). Vor diesem Hintergrund ist die angeordnete Erhöhung des Prämiensatzes von 2.5050% auf 3.0400% für die Dauer eines Jahres nicht unverhältnismässig. Dass das Kontrollorgan üblicherweise dreimal eine Ermahnung ausspricht und erst bei der vierten Feststellung eines sicherheitswidrigen Zustandes eine Prämienerhöhung verfügt (vgl. EKAS Leitfaden Ziff. 5.3), vermag da- ran nichts zu ändern. Diese Regel ist – wie bereits erwähnt – Ausdruck des Verhältnismässigkeitsgrundsatzes und gilt insbesondere vor einer erstma- ligen Sanktion. Vorliegend stellte das Kontrollorgan zwei Jahre und acht Monate nach Ablauf der letzten Höhereinreihung nach Art. 92 Abs. 3 UVG – welcher seit dem Jahr 2011 (und damit weniger als 10 Jahre vor der Ver- fügung vom 8. April 2020) mehrere Ermahnungen und Verfügungen mit Sofortmassnahmen gegenüber der Beschwerdeführerin vorangegangen waren (vgl. act. 11) – einen weiteren Verstoss gegen Unfallverhütungsvor- schriften fest. Dass die Vorinstanz bei dieser Sachlage nur einmal eine Er- mahnung ausgesprochen hat, ist nicht zu beanstanden. Es handelte sich bei den erneut festgestellten Mängeln (wiederum) um schwerwiegende Zu- widerhandlungen, welche eine unmittelbare schwere Gefährdung von Le-</w:t>
      </w:r>
    </w:p>
    <w:p>
      <w:r>
        <w:t>C-3063/2020 Seite 18 ben und Gesundheit verursachten und daher zu erfüllenden Sofort-Mass- nahmen sowie Massnahmen führten. In diesem Zusammenhang ist daran zu erinnern, dass gemäss Art. 92 Abs. 3 UVG und Art. 66 Abs. 1 VUV grundsätzlich auch ein einzelner Verstoss eine (rückwirkende) Prämiener- höhung rechtfertigen kann und dass eine solche Sanktion den betreffenden Arbeitgeber dazu zwingen soll, die Unfallvorschriften in Zukunft einzuhal- ten (vgl. dazu auch E. 3.3.2). Führte eine frühere Prämienerhöhung nicht zum angestrebten Erfolg, hat das Kontrollorgan die ihm zur Verfügung ste- henden Zwangsmittel weiterhin und konsequent anzuwenden. Es ist auch daran zu erinnern, dass das Nichteinhalten von Sicherheitsvorschriften er- hebliche Kosten zum Schaden der Versichertengemeinschaft verursachen kann (vgl. Urteil BVGer C-6018/2008 E. 6.2.4 m.H.). Gemäss Ziff. 5.2.10 des EKAS-Leitfadens dürfen Feststellungen, die mehr als zehn Jahre zurückliegen nicht mehr berücksichtigt werden. Da die in der Verfügung der Prämienerhöhung vom 8. April 2020 (act. 7) erwähnten Mängel von 2016 und 2019 datieren und die Vorinstanz auch in ihrer Ver- nehmlassung auf Mängel der letzten acht Jahre verweist (BVGer-act. 6 Ziff. 9), ist nichts dagegen einzuwenden, wenn diese von der Vorinstanz in der Beurteilung berücksichtigt wurden.</w:t>
      </w:r>
    </w:p>
    <w:p>
      <w:r>
        <w:rPr>
          <w:b/>
        </w:rPr>
        <w:t>E. 6.4.1.4</w:t>
      </w:r>
    </w:p>
    <w:p>
      <w:r>
        <w:t>Was den Umfang der Prämienerhöhung anbelangt, wurde die Be- schwerdeführerin von der Vorinstanz rückwirkend für das Jahr 2020 im BUV-Prämientarif um vier Stufen höher eingereiht. Der Prämiensatz wurde von 2.5050% (Stufe 100) auf 3.0400% (Stufe 104) und damit um 21.35% erhöht. Diese Höhereinreihung entspricht den Vorgaben von Art. 113 Abs. 2 UVV. Vor diesem Hintergrund kann die verfügte und für die Dauer eines Jahres (1. Januar - 31. Dezember 2020) befristete Prämienerhöhung nicht als unverhältnismässig bezeichnet werden.</w:t>
      </w:r>
    </w:p>
    <w:p>
      <w:r>
        <w:rPr>
          <w:b/>
        </w:rPr>
        <w:t>E. 6.4.2.1</w:t>
      </w:r>
    </w:p>
    <w:p>
      <w:r>
        <w:t>Die Beschwerdeführerin beanstandet sodann, ein Prämienstufen- anstieg müsse jederzeit nachvollziehbar sein. Es gebe kein öffentlich ein- sehbares Schema, welches aufzeigen würde, nach welchem Vergehen ein Anstieg bzw. nach welchem Zeitraster eine "Ermahnungs-Rückstufung" er- folge. Die Vorinstanz sei hier völlig intransparent.</w:t>
      </w:r>
    </w:p>
    <w:p>
      <w:r>
        <w:rPr>
          <w:b/>
        </w:rPr>
        <w:t>E. 6.4.2.2</w:t>
      </w:r>
    </w:p>
    <w:p>
      <w:r>
        <w:t>Wie bereits in E. 6.4.1.3 ausgeführt und von der Vorinstanz in ihrer Vernehmlassung korrekt festgehalten, könnte gemäss EKAS-Leitfaden Ziff. 5.2.7 grundsätzlich (unter Vorbehalt der Verhältnismässigkeit) jeder</w:t>
      </w:r>
    </w:p>
    <w:p>
      <w:r>
        <w:t>C-3063/2020 Seite 19 Verstoss gegen Vorschriften über die Arbeitssicherheit gemäss Art. 92 Abs. 3 UVG jederzeit und auch rückwirkend mit einer Prämienerhöhung geahndet werden. Das diesbezügliche Vorgehen der Vorinstanz ist den de- taillierten Bestimmungen des EKAS-Leitfadens zu entnehmen. Bei den im EKAS-Leitfaden erwähnten Entscheidprozessen (Betriebsbesuch, Anhö- rung, Erlass von Massnahmen und Ermahnungen sowie Prämienerhöhun- gen) ist die Vorinstanz verpflichtet, sich an ein einheitliches und rechtsglei- ches Vorgehen zu halten (vgl. EKAS-Leitfaden Ziff.1 und 2.4). Dem inter- nen Schema der Vorinstanz, welches den Prämienstufenanstieg und die - rückstufung nach der Grösse des Unternehmens festlegt, kommt laut Vo- rinstanz nur eine sekundäre Bedeutung zu; dieses werde ausnahmslos auf alle Unternehmungen angewendet (vgl. BVGer-act. 6 S. 2 f. und zur Kog- nitionsbeschränkung E. 2.3 f.). Demzufolge sind die Entscheidprozesse der Vorinstanz genügend transparent.</w:t>
      </w:r>
    </w:p>
    <w:p>
      <w:r>
        <w:rPr>
          <w:b/>
        </w:rPr>
        <w:t>E. 6.5</w:t>
      </w:r>
    </w:p>
    <w:p>
      <w:r>
        <w:t>Zusammengefasst ergibt sich, dass die verfügte auf ein Jahr befristete Prämienerhöhung im Einklang mit dem Gesetz, der Verordnung und dem EKAS-Leitfaden steht. Dementsprechend ist die Beschwerde vom 12. Juni 2020 abzuweisen und der angefochtene Einspracheentscheid vom 15. Mai 2020 zu bestätigen.</w:t>
      </w:r>
    </w:p>
    <w:p>
      <w:r>
        <w:rPr>
          <w:b/>
        </w:rPr>
        <w:t>E. 7</w:t>
      </w:r>
    </w:p>
    <w:p>
      <w:r>
        <w:t>Zu befinden bleibt über die Verfahrenskosten und eine allfällige Parteient- schädigung.</w:t>
      </w:r>
    </w:p>
    <w:p>
      <w:r>
        <w:rPr>
          <w:b/>
        </w:rPr>
        <w:t>E. 7.1</w:t>
      </w:r>
    </w:p>
    <w:p>
      <w:r>
        <w:t>Gemäss Art. 63 Abs. 1 VwVG sind die Verfahrenskosten der unterlie- genden Partei aufzuerlegen. Diese bemessen sich nach Umfang und Schwierigkeit der Streitsache, Art der Prozessführung und finanzieller Lage der Parteien (vgl. Art. 2 Abs. 1 des Reglements vom 21. Februar 2008 über die Kosten und Entschädigungen vor dem Bundesverwaltungsgericht [VGKE, SR 173.320.2]). Die von der unterliegenden Beschwerdeführerin zu tragenden Verfahrenskosten sind vorliegend auf Fr. 2'000.- festzulegen und dem geleisteten Verfahrenskostenvorschuss in gleicher Höhe zu ent- nehmen.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128 V 124 E. 5b sowie Art. 7 Abs. 3 VGKE).</w:t>
      </w:r>
    </w:p>
    <w:p>
      <w:r>
        <w:t>C-3063/2020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