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C-3031/2007 vom 11. Mai 2009</w:t>
      </w:r>
    </w:p>
    <w:p>
      <w:r>
        <w:t>Bundesverwaltungsgericht, 2009-05-11, FR</w:t>
      </w:r>
    </w:p>
    <w:p>
      <w:r>
        <w:rPr>
          <w:b/>
        </w:rPr>
        <w:t xml:space="preserve">Quelle: </w:t>
      </w:r>
      <w:r>
        <w:t>https://mcp.opencaselaw.ch/entscheid/bvger_C-3031_2007</w:t>
      </w:r>
    </w:p>
    <w:p>
      <w:r>
        <w:t>FR: TAF C-3031/2007 du 11 mai 2009</w:t>
      </w:r>
    </w:p>
    <w:p>
      <w:r>
        <w:t>IT: TAF C-3031/2007 del 11 maggio 2009</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CNA/SUVA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28 mars 2007 constitue une décision au sens de l'art. 5 PA ne pouvant être attaquée que par recours devant le TAF dans la mesure ou les griefs invoqués concernent la tarification (cf. art. 109 LAA). La Cour de céans est dès lors compétente pour traiter de la présente cause.</w:t>
      </w:r>
    </w:p>
    <w:p>
      <w:r>
        <w:rPr>
          <w:b/>
        </w:rPr>
        <w:t>E. 2.1</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la recourante est débitrice des primes de l'assurance obligatoire contre les accidents et maladies professionnels (art. 91 al. 1 LAA). Partant, elle est touchée par la décision sur opposition litigieuse de sorte qu'elle a un intérêt digne de protection à ce que celle-ci soit annulée ou modifiée (cf. art. 48 PA et 59 LPGA). La qualité pour recourir doit donc lui être reconnue.</w:t>
      </w:r>
    </w:p>
    <w:p>
      <w:r>
        <w:rPr>
          <w:b/>
        </w:rPr>
        <w:t>E. 2.2</w:t>
      </w:r>
    </w:p>
    <w:p>
      <w:r>
        <w:t>Le recours a en outre été interjeté en temps utile et dans les formes requises (art. 52 al. 1 PA et 60 LPGA), dès lors il est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KÖLZ/ISABELLE HÄNER, Verwaltungsverfahren und Verwaltungsrechtspflege des Bundes, 2e éd. Zurich 1998 n. 677).</w:t>
      </w:r>
    </w:p>
    <w:p>
      <w:r>
        <w:rPr>
          <w:b/>
        </w:rPr>
        <w:t>E. 4</w:t>
      </w:r>
    </w:p>
    <w:p>
      <w:r>
        <w:t>La recourante se plaint notamment d'un déficit de motivation de la décision litigieuse ce qui revient à invoquer une violation de son droit d'être entendue.</w:t>
      </w:r>
    </w:p>
    <w:p>
      <w:r>
        <w:rPr>
          <w:b/>
        </w:rPr>
        <w:t>E. 4.1</w:t>
      </w:r>
    </w:p>
    <w:p>
      <w:r>
        <w:t>Or, en raison du caractère formel du droit d'être entendu - dont la violation entraîne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 cf. également ATF 134 V 97)</w:t>
      </w:r>
    </w:p>
    <w:p>
      <w:r>
        <w:rPr>
          <w:b/>
        </w:rPr>
        <w:t>E. 4.2.1</w:t>
      </w:r>
    </w:p>
    <w:p>
      <w:r>
        <w:t>Le droit d'être entendu, inscrit à l'art. 29 al. 2 de la constitution fédérale de la Confédération suisse du 18 avril 1999 (Cst., RS 101) ,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ATF 104 Ia 201). L'idée est de compenser, dans une certaine mesure, le caractère peu précis de la disposition légale applicable par des garanties procédurales accrues (ATF 127 V 431 consid. 2b/cc, ATF 109 Ia 273 4d).</w:t>
      </w:r>
    </w:p>
    <w:p>
      <w:r>
        <w:rPr>
          <w:b/>
        </w:rPr>
        <w:t>E. 4.2.2</w:t>
      </w:r>
    </w:p>
    <w:p>
      <w:r>
        <w:t>Dans un jugement du 7 octobre 2004 en la cause 541/02, la Commission fédérale de recours en matière d'assurance-accidents (CRAA, à laquelle a succédé le TAF au 1er janvier 2007) a observé que l'art. 92 LAA et 113 OAA ne fixe que des exigences générales et confère un large pouvoir d'appréciation à la CNA/SUVA en matière tarifaire. Face à une compétence aussi étendue, il lui revient d'informer clairement les assurés et d'expliquer comment le taux de prime a été fixé, particulièrement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w:t>
      </w:r>
    </w:p>
    <w:p>
      <w:r>
        <w:rPr>
          <w:b/>
        </w:rPr>
        <w:t>E. 4.2.3</w:t>
      </w:r>
    </w:p>
    <w:p>
      <w:r>
        <w:t>Dans une jurisprudence rendue à propos de l'art. 99 al. 2 aLAA (dont la teneur était jusqu'au 31 décembre 2002 " les décisions doivent être motivées et indiquer les voies de droit. Une notification irrégulière ne peut entraîner aucun préjudice pour l'intéressé") et cité dans le jugement CRAA du 7 octobre 2004, le Tribunal fédéral (des assurances) avait indiqué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 de 5 ans. Enfin, les principes légaux à respecter était également exposés (cf. arrêt du Tribunal fédéral U87/91 du 5 mai 1993 in RAMA 1993 N. U 175 p. 200. cosnid 4a/bb).</w:t>
      </w:r>
    </w:p>
    <w:p>
      <w:r>
        <w:rPr>
          <w:b/>
        </w:rPr>
        <w:t>E. 4.3</w:t>
      </w:r>
    </w:p>
    <w:p>
      <w:r>
        <w:t>Il convient d'examiner, à l'aune de ces principes, si l'autorité intimée a respecté les exigences de motivation s'agissant de la fixation des primes AAP et AANP 2007 de l'entreprise recourante, attendu que cette année-là marque celle d'un changement de système tarifaire, qui est passé du SBM 03 au TE 03.</w:t>
      </w:r>
    </w:p>
    <w:p>
      <w:r>
        <w:rPr>
          <w:b/>
        </w:rPr>
        <w:t>E. 4.3.1</w:t>
      </w:r>
    </w:p>
    <w:p>
      <w:r>
        <w:t>Les nouveaux taux de primes 2007 ont été communiqués à la recourante avec la décision du 25 octobre 2006, à laquelle était jointe les certificats d'assurance qui indiquaient les classes et les degrés de rattachement et les graphiques servant de base à leur détermination. La décision elle-même ne fournissait que des informations sommaires d'ordre très général. Dans la décision sur opposition du 28 mars 2007, l'autorité intimée exposait plus précisément les conditions du passage du modèle SBM 03 à celui du TE 03 et décrivait les grandes étapes de la tarification empirique sans toutefois chiffrer ces dernières avec les données spécifiques retenues pour la recourante si bien qu'il était impossible de vérifier l'application du TE 03 à celle-ci. En effet, seuls les résultats finaux étaient présentés. La décision sur opposition ne contenait aucune annexe. En réponse au recours déposé le 30 avril 2007 devant la Cour de céans, l'autorité intimée est revenue plus en détail sur les différentes étapes permettant de déterminer les taux de prime selon le TE 03. Ce n'est qu'à ce moment que l'autorité intimée a produit une brochure sur la tarification empirique TE 03. Elle a également joint les graphiques, lesquels, bien que légendés, sont difficilement compréhensibles, malgré l'opuscule explicatif. Figurent également deux tableaux récapitulant pour les années 1991 à 2005, la masse salariale, la prime nette, le nombre de cas, les coûts des accidents et le taux de risque. Dans l'écriture de réponse, chaque étape de l'opération était cette fois-ci ponctuée par les chiffres afférents à l'entreprise recourante, mais sans que l'on comprenne pour autant - tout du moins pour partie d'entre eux - comment précisément ils ont été obtenus. Ainsi, le taux de risque moyen pour la période considérée est estimé sans plus d'explication à 8% alors qu'il est en fait de 8,7341%. De même manière, la formule mathématique qui détermine l'évolution du facteur de crédibilité du taux de risque ne ressort pas des explications, seul le chiffre final de 0,615 est affiché. La conjugaison des différentes courbes de taux de risque pour arriver au taux de risque pondéré est pour le moins obscure. Il manque également la source du taux d'amortissement de la branche considérée. On ne sait pas sur la masse salariale de quelles années est calculé le taux d'amortissement ni la mesure dans laquelle les expériences acquises en matière de risque les deux dernières années sont prises en compte puisqu'elles ne semblent ni exclues, ni totalement considérées.</w:t>
      </w:r>
    </w:p>
    <w:p>
      <w:r>
        <w:rPr>
          <w:b/>
        </w:rPr>
        <w:t>E. 4.3.2</w:t>
      </w:r>
    </w:p>
    <w:p>
      <w:r>
        <w:t>Au vu de ce qui précède, la Cour de céans est d'avis que l'autorité intimée n'a pas respecté son obligation de motivation telle qu'elle découle des art. 35 al. 1 PA, 42 al. 3 LPGA et 52 al. 2 LPGA. Ni la décision du 25 octobre 2006 ni celle sur opposition du 28 mars 2007 ne contiennent des explications suffisantes permettant de comprendre comment l'autorité aboutit aux taux de primes finalement retenus. Ce n'est que dans la réponse au recours qu'apparaissent certains éclaircissements, lesquels ne sont pas exhaustifs et ne permettent toujours pas de comprendre concrètement tous les paramètres utilisés pour la détermination des taux de primes de la recourante. Cette carence dans la motivation est d'autant plus inadmissible que, ainsi qu'il a déjà été dit (cf. supra consid. 4.2.2) l'autorité doit être particulièrement attentive à la précision et à la clarté des informations qu'elle donne aux entreprises assurées, lorsque, comme en l'espèce, un nouveau modèle tarifaire est appliqué et que la marge de manoeuvre que lui réserve la loi dans ce domaine est étendue.</w:t>
      </w:r>
    </w:p>
    <w:p>
      <w:r>
        <w:rPr>
          <w:b/>
        </w:rPr>
        <w:t>E. 5</w:t>
      </w:r>
    </w:p>
    <w:p>
      <w:r>
        <w:t>Il reste à examiner les conséquences de la violation du droit d'être entendue de la recourante.</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5e éd., Zurich/Bâle/Genève 2006, n. 1711; Andreas Auer/Giorgio Malinverni/Michel Hottelier, Droit constitutionnel suisse, volume II, Les droits fondamentaux, 2ème éd., Berne 2006, n. 1347s). Toutefois, cette possibilité doit être utilisée avec une certaine prudence lorsque l'autorité de recours est amenée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bénéficier devant l'autorité intimée (ATF 114 Ia 14 consid. 2c).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ATF 116 V 182 consid. 3d).</w:t>
      </w:r>
    </w:p>
    <w:p>
      <w:r>
        <w:rPr>
          <w:b/>
        </w:rPr>
        <w:t>E. 5.2</w:t>
      </w:r>
    </w:p>
    <w:p>
      <w:r>
        <w:t>Dans le cas présent, il n'est pas opportun de renoncer à annuler la décision litigieuse et à renvoyer la cause à l'autorité intimée. La décision sur opposition du 28 mars 2007 ne contient que des informations succinctes sur la tarification empirique (rappelons que la brochure explicative n'a été produite que devant la Cour de céans) et les explications fournies en procédure de recours sont extrêmement techniques et incomplètes, si bien que la Cour de céans elle-même est dans l'incapacité de saisir la portée concrète des différentes étapes dans la détermination du taux de prime de l'entreprise recourante. A cet égard une certaine vulgarisation rendant intelligible le modèle tarifaire appliqué au cas concret est indispensable, ce que tant la CRAA (cf. CRAA 541/02 du 7 octobre 2004) que le TAF (arrêt C-3174/2006 du 24 avril 2007) ont déjà eu l'occasion de requérir de l'autorité intimée. Enfin, il sied de rappeler que si l'autorité de recours devait pallier dans tous les cas le déficit de motivation de l'autorité inférieure, cela priverait la recourante du bénéfice de la double instance (cf. SVR 2003 I IV no 13 consid. 3.1).</w:t>
      </w:r>
    </w:p>
    <w:p>
      <w:r>
        <w:rPr>
          <w:b/>
        </w:rPr>
        <w:t>E. 6.1</w:t>
      </w:r>
    </w:p>
    <w:p>
      <w:r>
        <w:t>Dans ces circonstances, le recours doit être partiellement admis et la décision attaquée annulée. Il appartiendra à la CNA/SUVA de fournir à la recourante tous les documents et informations nécessaires concernant l'application du TE 03 à son entreprise, ainsi que l'exige le droit d'être entendu, afin que celle-ci puisse vérifier la façon dont ses données ont été prises en compte et décider ensuite si elle s'oppose ou non à sa classification.</w:t>
      </w:r>
    </w:p>
    <w:p>
      <w:r>
        <w:rPr>
          <w:b/>
        </w:rPr>
        <w:t>E. 6.2</w:t>
      </w:r>
    </w:p>
    <w:p>
      <w:r>
        <w:t>Dès lors que le recours est admis pour des motifs d'ordre formel, il n'y a pas lieu de donner suite aux mesures d'instructions requises par la recourante au sujet d'une expertise concernant la tarification applicable aux entreprises analogues à la sienne.</w:t>
      </w:r>
    </w:p>
    <w:p>
      <w:r>
        <w:rPr>
          <w:b/>
        </w:rPr>
        <w:t>E. 7.1</w:t>
      </w:r>
    </w:p>
    <w:p>
      <w:r>
        <w:t>Compte tenu de l'issu du litige, il n'est pas perçu de frais de procédure (art. 63 al. 1 et 2 PA). En conséquence, l'avance de frais de Fr. 3'000.-- déjà versée par la recourante lui sera restituée sur le compte bancaire qu'elle aura désigné, une fois la décision entrée en force.</w:t>
      </w:r>
    </w:p>
    <w:p>
      <w:r>
        <w:rPr>
          <w:b/>
        </w:rPr>
        <w:t>E. 7.2</w:t>
      </w:r>
    </w:p>
    <w:p>
      <w:r>
        <w:t>Il reste à examiner la question des dépens relatifs à la procédure devant la Cour de céans. Les art. 64 PA et 7 du règlement du 21 février 2008 concernant les frais, dépens et indemnités fixés par le Tribunal administratif fédéral (FITAF, RS 173.320.2) - applicable en l'espèce en vertu de l'art. 53 al. 2 in fine LTAF - permettent au TAF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 En l'espèce, le travail accompli par le représentant de l'entreprise recourante en instance de recours a consisté principalement dans la rédaction d'un recours de 4 pages et demie auquel était annexé une copie de de la décision litigieuse (5 pages) d'une réplique d'une page Il se justifie, eu égard à ce qui précède, de lui allouer une indemnité à titre de dépens de Fr. 1'500.- à charge de la CNA/SUVA.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