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C-302/2017 vom 17. Dezember 2003</w:t>
      </w:r>
    </w:p>
    <w:p>
      <w:r>
        <w:t>Bundesverwaltungsgericht, 2003-12-17, FR</w:t>
      </w:r>
    </w:p>
    <w:p>
      <w:r>
        <w:rPr>
          <w:b/>
        </w:rPr>
        <w:t xml:space="preserve">Quelle: </w:t>
      </w:r>
      <w:r>
        <w:t>https://mcp.opencaselaw.ch/entscheid/bvger_C-302_2017</w:t>
      </w:r>
    </w:p>
    <w:p>
      <w:r>
        <w:t>FR: TAF C-302/2017 du 17 décembre 2003</w:t>
      </w:r>
    </w:p>
    <w:p>
      <w:r>
        <w:t>IT: TAF C-302/2017 del 17 dicembre 2003</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concernant l'octroi de rente d'invalidité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Conformément à l'art. 46a PA, le recours est recevable si, sans en avoir le droit, l'autorité saisie s'abstient de rendre une décision sujette à recours ou tarde à le faire. Selon l'art. 56 al. 2 LPGA, le recours peut aussi être formé lorsque l'assureur, malgré la demande de l'intéressé, ne rend pas de décision ou de décision sur opposition.</w:t>
      </w:r>
    </w:p>
    <w:p>
      <w:r>
        <w:rPr>
          <w:b/>
        </w:rPr>
        <w:t>E. 1.4</w:t>
      </w:r>
    </w:p>
    <w:p>
      <w:r>
        <w:t>En vertu de l'art. 50 al. 2 PA, le recours pour déni de justice ou retard injustifié peut être formé en tout temps, de sorte que ce moyen de droit n'est pas soumis à l'observation d'un délai. Par ailleurs, déposé dans les formes requises par la loi (art. 52 PA), le recours est en principe recevable.</w:t>
      </w:r>
    </w:p>
    <w:p>
      <w:r>
        <w:rPr>
          <w:b/>
        </w:rPr>
        <w:t>E. 2.1</w:t>
      </w:r>
    </w:p>
    <w:p>
      <w:r>
        <w:t>Quiconque a un intérêt digne de protection à ce qu'une décision ou une décision sur opposition soit rendue par un assureur a qualité pour recourir contre le fait que celle-ci ne soit pas rendue ou tarde indûment à l'être (art. 59 LPGA en relation avec les art. 46a PA, 56 al. 2 LPGA et 5 PA). La notion d'intérêt digne de protection suppose notamment que le recourant possède un intérêt actuel, et ce non seulement au moment du dépôt du recours, mais également lors du prononcé de la décision sur recours (ATF 128 II 34 consid. 1b). Cet intérêt actuel est déterminé en fonction du but poursuivi par le recours, et des conséquences et de la portée d'une éventuelle admission de celui-ci (arrêt du Tribunal fédéral 1C_453/2008 du 12 février 2009 consid. 1.2). Ainsi, il faut que la décision de l'autorité de recours puisse encore remédier aux désagréments que la décision attaquée, respectivement l'absence de décision, occasionne au recourant (Isabelle Häner, in : Auer/Müller/Schindler, Kommentar zum Bundesgesetz über das Verwaltungsverfahren, Zurich/St-Gall 2008, ch. marg. 21 ss ad art. 48 PA). Le but d'un recours pour déni de justice ou retard injustifié au sens de l'art. 46a PA est d'amener l'autorité tenue de le faire à statuer ; c'est là précisément que réside l'intérêt digne de protection au sens de l'art. 48 al. 1 PA, qui légitime la partie recourante à recourir pour retard injustifié ou déni de justice. Par conséquent, cet intérêt digne de protection disparaît lorsque l'autorité tenue de le faire rend sa décision au fond au cours de la procédure de recours pour retard injustifié ou déni de justice. Il conviendra alors de procéder à la radiation de la cause, devenue sans objet (Markus Müller, in : Auer/Müller/Schindler, Kommentar zum Bundesgesetz über das Verwaltungsverfahren, Zurich/St-Gall 2008, ch. marg. 12 ad art. 46a PA).</w:t>
      </w:r>
    </w:p>
    <w:p>
      <w:r>
        <w:rPr>
          <w:b/>
        </w:rPr>
        <w:t>E. 2.2</w:t>
      </w:r>
    </w:p>
    <w:p>
      <w:r>
        <w:t>En l'espèce le recours a été formé contre le silence de l'administration qui ne fixait pas la rente pour l'enfant du recourant, G._______, née le [...] septembre 2015, alors qu'elle en avait été informée par courrier de Me Nordmann du [...] septembre 2015, accompagné du certificat de naissance espagnol du [...] septembre 2015 (OAIE docs 274, 275). Or, le 20 janvier 2017, l'OAIE a rendu une décision allouant au recourant la rente pour l'enfant G._______ dès le 1er septembre 2015, décision notifiée à Me Nordmann le 24 janvier 2017. Dès lors, le recourant ne dispose plus d'un intérêt au recours pour déni de justice, lequel est devenu sans objet et doit être radié du rôle dans une procédure à juge unique (art. 23 al. 1 let. a LTAF).</w:t>
      </w:r>
    </w:p>
    <w:p>
      <w:r>
        <w:rPr>
          <w:b/>
        </w:rPr>
        <w:t>E. 3</w:t>
      </w:r>
    </w:p>
    <w:p>
      <w:r>
        <w:t>Lorsque, comme en l'espèce, la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Par ailleurs, en vertu de l'art. 15 FITAF, en relation avec l'art. 5 FITAF, lorsqu'une procédure devient sans objet, le Tribunal examine s'il y a lieu d'allouer des dépens. Il appartient ainsi au Tribunal de céans de statuer sur les frais afférents à la procédure engagée, par une décision sommairement motivée, en tenant compte de l'état de fait existant avant l'événement mettant fin au litige et de l'issue probable qu'aurait eu celui-ci (ATF 125 V 373 consid. 2a ; arrêt du Tribunal fédéral 9C_107/2009 du 9 juin 2009 consid. 2). En outre, des dépens sont dus en principe, si le grief d'un retard injustifié est avéré (arrêt du Tribunal fédéral 9C_448/2014 du 4 septembre 2014 consid. 3), ce qu'il sied donc d'examiner dans les considérants qui suivent.</w:t>
      </w:r>
    </w:p>
    <w:p>
      <w:r>
        <w:rPr>
          <w:b/>
        </w:rPr>
        <w:t>E. 4.1</w:t>
      </w:r>
    </w:p>
    <w:p>
      <w:r>
        <w:t>Aux termes de l'art. 29 al. 1 de la Constitution fédérale de la Confédération suisse du 18 avril 1999 (Cst., RS 101), toute personne a droit, dans une procédure judiciaire ou administrative, à ce que sa cause soit traitée équitablement et jugée dans un délai raisonnable, et à ce que la décision ou décision sur opposition soit rendue à bref délai par l'autorité compétente. La distinction entre refus de statuer ou tardiveté dans le devoir de statuer n'a guère d'incidence, tous deux constituant des dénis de justice formels (Pierre Moor/Etienne Poltier, Droit administratif, vol. II, 3e éd., Berne 2011, p. 336). Le caractère raisonnable de la durée de la procédure s'apprécie en fonction des circonstances particulières de la cause et, entre autres critères, sont notamment déterminants la nature de l'affaire, le degré de complexité de l'affaire, la difficulté éventuelle d'élucider les questions de fait, l'enjeu que revêt le litige pour l'assuré ainsi que le comportement de celui-ci et des autorités intimées (ATF 135 I 265 consid. 4.4, ATF 129 V 411 ; Moor/Poltier, op. cit., p. 336 ; Thierry Tanquerel, Manuel de droit administratif, Genève Zurich Bâle 2011, n° 1501). A cet égard il appartient au justiciable d'entreprendre certaines démarches pour inviter l'autorité à faire diligence, notamment en incitant celle-ci à accélérer la procédure ou en recourant pour retard injustifié. Par ailleurs, on ne saurait reprocher quelques « temps morts » à l'administration ; lorsqu'aucun de ces « temps morts » n'est d'une durée vraiment choquante, c'est l'appréciation d'ensemble qui prévaut (Jérôme Candrian, Introduction à la procédure administrative fédérale, Bâle 2013, n° 117). Cependant, l'administration ne saurait invoquer une organisation déficiente ou une surcharge structurelle pour justifier la lenteur de la procédure (ATF 130 I 312 consid. 5.1 et 5.2 et les références ; arrêt du Tribunal fédéral 9C_414/2012 du 12 novembre 2012 consid. 2.1). Il sied d'ajouter qu'en droit des assurances sociales, la procédure de première instance est gouvernée par le principe de célérité, lequel est un principe général du droit des assurances sociales (ATF 110 V 54 consid. 4b ; arrêt du Tribunal fédéral 9C_441/2010 du 6 avril 2011 consid. 2.3). Toutefois cette maxime ne saurait l'emporter sur la nécessité d'une instruction complète (ATF 129 V 411 consid. 1.2 renvoyant à l'ATF 119 Ib 325 consid. 5b ; arrêt du Tribunal administratif fédéral C-5204/2012 du 5 octobre 2012 consid. 4.1 in fine). Il importe également que l'administration fasse régulièrement avancer le dossier par des actes concrets (arrêt du Tribunal fédéral I 57/02 du 24 octobre 2002 consid. 3 et 4 ; arrêt du Tribunal administratif fédéral C-33/2013 du 13 juin 2013 consid. 2).</w:t>
      </w:r>
    </w:p>
    <w:p>
      <w:r>
        <w:rPr>
          <w:b/>
        </w:rPr>
        <w:t>E. 4.2</w:t>
      </w:r>
    </w:p>
    <w:p>
      <w:r>
        <w:t>A titre d'exemples, bien que relativement à des causes pendantes devant des tribunaux et non en phase d'instruction par l'administration (voir arrêts du Tribunal fédéral 9C_414/2012 du 12 novembre 2012 consid. 2.2 et 9C_441/2010 du 6 avril 2011 consid. 2.4), la jurisprudence a constaté un retard injustifié à statuer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(arrêt du Tribunal fédéral 8C_613/2009 du 22 février 2010). A l'occasion d'un autre litige, un délai de 18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du Tribunal fédéral 8C_615/2009 du 28 septembre 2009). Selon la doctrine, l'inactivité de l'administration durant une période de 9 à 12 mois est considérée dans la pratique des tribunaux comme un retard injustifié (Ueli Kieser, ATSG-Kommentar, 3e éd., Zurich/Genève/Bâle 2015, art. 56 LPGA n° 21 ss ; Ueli Kieser, Verwaltunsverfahren in der Sozialversicherung, Zurich 1999, n° 509 et les références ; Urs Müller, Das Verwaltungsverfahren in der Invalidenversicherung, Berne 2010, n° 2279 ; arrêt du Tribunal administratif fédéral C-1653/2014 du 23 juillet 2014 consid. 3.3). Le Tribunal fédéral a ainsi qualifié d'inadmissible l'inaction d'un office AI de plus de 10 mois après la remise d'une expertise d'un centre d'observation médicale l'assurance-invalidité (COMAI) pour établir un projet de décision, puis de 17 mois pour rendre une décision, et encore de 23 mois pour se prononcer sur l'opposition d'un justiciable (arrêt du Tribunal fédéral I 946/05 du 11 mai 2007 consid. 5.4). Il a également qualifié de cas limite une procédure restée prête à être traitée durant 16 mois (arrêt du Tribunal fédéral 9C_190/2007 du 24 septembre 2007 consid. 4.1).</w:t>
      </w:r>
    </w:p>
    <w:p>
      <w:r>
        <w:rPr>
          <w:b/>
        </w:rPr>
        <w:t>E. 5</w:t>
      </w:r>
    </w:p>
    <w:p>
      <w:r>
        <w:t>En l'espèce, G._______ est née le [...] septembre 2015. L'OAIE en a été informé quelques jours plus tard, par courrier de Me Nordmann du [...] septembre 2015, auquel était jointe, à titre de preuve, une copie de l'acte de naissance et du registre du service de l'état civil de Z. (OAIE docs 274, 275). Suite à ce courrier, l'administration s'est adressée au recourant, le 16 octobre 2015, indiquant que l'enfant devait être annoncée à l'état civil en Suisse et qu'ensuite seulement, le calcul de la rente complémentaire pour enfant la concernant serait effectué (OAIE doc 277). Le 19 octobre 2015, Me Nordmann a réagi à ce courrier, demandant à l'OAIE des précisions quant à l'exigence d'un enregistrement de G._______ à l'état civil suisse (OAIE doc 279 p. 2). Par la suite, plus aucun courrier n'a été envoyé par l'administration, plus aucun acte d'instruction n'a été accompli jusqu'au dépôt du recours pour déni de justice, puis au prononcé de la décision allouant au recourant la rente complémentaire pour G._______ en janvier 2017, soit 15 mois plus tard environ. En revanche, dans l'intervalle, le recourant, par l'intermédiaire de Me Nordmann, a adressé à l'OAIE pas moins de cinq courriers, les 28 janvier, 5 avril, 23 juin, 13 septembre et 10 octobre 2016, pour demander, puis exiger la fixation de cette rente ou des explications quant aux raisons de ce retard et de ce silence, notamment concernant les motifs de l'exigence d'un enregistrement à l'état civil suisse, puis pour produire spontanément une copie du passeport suisse de G._______ avec sa dernière correspondance, le 10 octobre 2016.</w:t>
      </w:r>
    </w:p>
    <w:p>
      <w:r>
        <w:rPr>
          <w:b/>
        </w:rPr>
        <w:t>E. 6.1</w:t>
      </w:r>
    </w:p>
    <w:p>
      <w:r>
        <w:t>Quant au fond, le litige avait uniquement pour objet la fixation de la rente pour enfant concernant G._______, la quatrième et dernière enfant du recourant, alors que celui-ci était et est toujours au bénéfice d'une rente entière d'invalidité. Or, en vertu de l'art. 35 LAI, en relation avec l'art. 25 de la loi fédérale du 20 décembre 1946 sur l'assurance-vieillesse et survivants (LAVS, RS 831.10), celui qui peut prétendre une rente d'invalidité a droit à une rente pour chacun des enfants qui, à son décès, auraient droit à la rente d'orphelin de l'assurance-vieillesse et survivants. Ce droit prend naissance dès le premier jour du mois de la naissance de l'enfant lorsque cet enfant est né après l'ouverture du droit à la rente d'invalidité du parent (Michel Valterio, Droit de l'assurance-vieillesse et survivants [AVS] et de l'assurance-invalidité [AI], Genève, Zurich, Bâle 2011, n. m. 2209). Il s'agissait ainsi en l'occurrence d'un simple calcul de rente (art. 38 LAI), sans que ne soient nécessaires de longues analyses au sujet du droit à cette prestation, prévu par la loi, dès lors que les informations utiles à l'examen de ce droit étaient en possession de l'administration, à savoir les documents établissant le lien de filiation entre A._______ et G._______.</w:t>
      </w:r>
    </w:p>
    <w:p>
      <w:r>
        <w:rPr>
          <w:b/>
        </w:rPr>
        <w:t>E. 6.2</w:t>
      </w:r>
    </w:p>
    <w:p>
      <w:r>
        <w:t>A cet égard, l'OAIE disposait le [...] septembre 2015 déjà (voir le timbre sur le courrier de Me Nordmann du [...] septembre 2015 [OAIE doc 275]) de tous les documents nécessaires pour statuer sur le droit du recourant à la rente pour G._______. Etait en effet jointe au courrier de Me Nordmann du [...] septembre 2015, à titre de preuve de la naissance de l'enfant et de la filiation avec A._______, une copie du registre du service de l'état civil de Z., avec timbre et paraphe, indiquant la date, l'heure et le lieu de naissance de G._______, ainsi que le nom, la date de naissance et la filiation de son père, A._______ (OAIE doc 274 p. 1 et 2) ; était également annexée une copie d'une attestation en espagnol et français de l'acte de naissance de G._______, établi par le service de l'état civil de Z., portant timbre et paraphe et informant elle aussi du fait que A._______ est le père de l'enfant. L'OAIE ne pouvait donc raisonnablement faire fi de la transmission de ces documents et réclamer, comme il l'a fait dans son courrier du 16 octobre 2015 (OAIE doc 277), l'annonce de G._______ auprès de l'état civil en Suisse avant de procéder au calcul et au versement de la rente complémentaire la concernant. A tout le moins pouvait-on s'attendre à ce que l'administration réponde à la demande faite le 19 octobre 2015 par Me Nordmann qui sollicitait des précisions quant à l'exigence d'un enregistrement de G._______ à l'état civil suisse (OAIE doc 279 p. 2). Or, cette requête est restée sans réponse. On peut encore relever à ce propos que selon les Directives de l'Office fédéral des assurances sociales sur les rentes (DR) de l'assurance vieillesse, survivants et invalidité fédérale, valables dès le 1er janvier 2003, dans leur état au 1er janvier 2017 (ch. 3342.1), si le parent titulaire de la rente principale est de nationalité suisse, ressortissant de l'Union européenne ou de l'Association européenne de libre-échange ou d'un Etat lié à la Suisse par une convention de sécurité sociale, le droit à la rente pour enfant existe indépendamment de la nationalité et du domicile de l'enfant ; pour le droit à la rente pour enfant, sont donc déterminants la nationalité et le domicile du parent titulaire de la rente principale. Enfin, il y a lieu de noter que l'OAIE n'a pas réagi non plus lorsqu'une copie du passeport suisse de G._______, prouvant pourtant l'enregistrement de celle-ci auprès des autorités suisses, a été produite par Me Nordmann le 10 octobre 2016 (annexe 9 au recours [TAF pce 1]), puisque ce n'est qu'après le dépôt du recours pour déni de justice par le recourant que la décision de l'administration allouant la rente pour G._______ est intervenue, le 20 janvier 2017.</w:t>
      </w:r>
    </w:p>
    <w:p>
      <w:r>
        <w:rPr>
          <w:b/>
        </w:rPr>
        <w:t>E. 6.3</w:t>
      </w:r>
    </w:p>
    <w:p>
      <w:r>
        <w:t>Au demeurant, il sied de souligner que l'OAIE avait déjà alloué au recourant des rentes pour ses trois aînés, B._______, E._______, F._______, et même pour l'enfant de son épouse (voir supra Faits B, C, D), de sorte que ce dossier et la demande de rente pour enfant n'étaient pas nouveaux pour lui. A cet égard d'ailleurs, il appert que l'administration avait requis pour B._______, née le [...] mai 2010, l'inscription de sa naissance au registre des familles en Suisse (OAIE doc 126) et n'avait octroyé la rente pour elle que le 6 janvier 2012 (OAIE doc 165), après une mise en demeure de Me Nordmann (OAIE doc 166), alors qu'elle s'était contentée, concernant E._______, né le [...] août 2011, et F._______, née le [...] janvier 2013, des documents du service de l'état civil de Z. (OAIE docs 148 p. 2 et 3, 147 p. 10 à 12, 186, 187), sans que n'apparaissent au dossier les raisons expliquant cette différence de traitement entre les enfants. De plus, l'OAIE avait rendu sans tarder les décisions allouant les rentes pour E._______ et F._______, soit respectivement le 1er novembre 2011 et le 12 juin 2013 (OAIE docs 166, 194).</w:t>
      </w:r>
    </w:p>
    <w:p>
      <w:r>
        <w:rPr>
          <w:b/>
        </w:rPr>
        <w:t>E. 7</w:t>
      </w:r>
    </w:p>
    <w:p>
      <w:r>
        <w:t>Il apparaît ainsi, au vu de tout ce qui précède, que l'affaire en cause, simple quant au fond, était prête à être traitée en septembre 2015, soit 16 mois environ avant que la décision d'octroi de la rente pour enfant ne soit rendue, le 20 janvier 2017. Le recourant aurait dès lors été fondé à se plaindre d'un retard inadmissible à statuer.</w:t>
      </w:r>
    </w:p>
    <w:p>
      <w:r>
        <w:rPr>
          <w:b/>
        </w:rPr>
        <w:t>E. 8</w:t>
      </w:r>
    </w:p>
    <w:p>
      <w:r>
        <w:t>Il s'ensuit que le recourant a droit à des dépens à la charge de l'OAIE. Les honoraires d'avocat pour lesquels une indemnité est allouée sont calculés en fonction du temps nécessaire à la défense de la partie représentée (art. 10 al. 1 FITAF). La jurisprudence précise que ces honoraires sont, en règle ordinaire, fixés en fonction de l'importance et de la difficulté du litige, ainsi que d'après le travail et le temps que le mandataire a dû y consacrer (arrêt du Tribunal fédéral I 30/03 du 22 mai 2003). En l'occurrence, le travail du mandataire a consisté en la rédaction de sept courriers depuis et y compris la correspondance informant l'OAIE de la naissance de G._______, puis d'un recours pour déni de justice de quatre pages avec bordereau de pièces et de deux courriers au Tribunal de céans, dans une affaire sans difficultés. Par conséquent, il se justifie d'allouer à la partie recourante une indemnité à titre de dépens de CHF 1'000.- correspondant au montant réclamé par Me Nordmann (TAF pce 4). S'agissant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w:t>
      </w:r>
    </w:p>
    <w:p>
      <w:r>
        <w:rPr>
          <w:b/>
        </w:rPr>
        <w:t>E. 9</w:t>
      </w:r>
    </w:p>
    <w:p>
      <w:r>
        <w:t>Le Tribunal administratif fédéral ne percevra pas de frais de procédure, dans la mesure où aucun frais n'est mis à la charge des autorités inférieures ni des autorités fédérales recourantes ou déboutées (art. 63 al. 1 et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