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C-302/2010 vom 28. Juni 2010</w:t>
      </w:r>
    </w:p>
    <w:p>
      <w:r>
        <w:t>Bundesverwaltungsgericht, 2010-06-28, FR</w:t>
      </w:r>
    </w:p>
    <w:p>
      <w:r>
        <w:rPr>
          <w:b/>
        </w:rPr>
        <w:t xml:space="preserve">Quelle: </w:t>
      </w:r>
      <w:r>
        <w:t>https://mcp.opencaselaw.ch/entscheid/bvger_C-302_2010</w:t>
      </w:r>
    </w:p>
    <w:p>
      <w:r>
        <w:t>FR: TAF C-302/2010 du 28 juin 2010</w:t>
      </w:r>
    </w:p>
    <w:p>
      <w:r>
        <w:t>IT: TAF C-302/2010 del 28 giugno 2010</w:t>
      </w:r>
    </w:p>
    <w:p>
      <w:pPr>
        <w:pStyle w:val="Heading2"/>
      </w:pPr>
      <w:r>
        <w:t>Regeste</w:t>
      </w:r>
    </w:p>
    <w:p>
      <w:r>
        <w:t>Entrée</w:t>
      </w:r>
    </w:p>
    <w:p>
      <w:pPr>
        <w:pStyle w:val="Heading2"/>
      </w:pPr>
      <w:r>
        <w:t>Erwägungen</w:t>
      </w:r>
    </w:p>
    <w:p>
      <w:r>
        <w:rPr>
          <w:b/>
        </w:rPr>
        <w:t>E. 6.1</w:t>
      </w:r>
    </w:p>
    <w:p>
      <w:r>
        <w:t>La décision querellée, qui n'est ni arbitraire, ni disproportionnée, ne viole dès lors pas le droit fédéral et n'est par ailleurs pas inopportune (cf. art. 49 PA).</w:t>
      </w:r>
    </w:p>
    <w:p>
      <w:r>
        <w:rPr>
          <w:b/>
        </w:rPr>
        <w:t>E. 6.2</w:t>
      </w:r>
    </w:p>
    <w:p>
      <w:r>
        <w:t>Partant, le recours doit être rejeté.</w:t>
      </w:r>
    </w:p>
    <w:p>
      <w:r>
        <w:rPr>
          <w:b/>
        </w:rPr>
        <w:t>E. 6.3</w:t>
      </w:r>
    </w:p>
    <w:p>
      <w:r>
        <w:t>Les frais de procédure sont mis à la charge du recourant, qui succombe (cf. art. 63 al. 1 PA, en relation avec les art. 1ss du règlement du 21 février 2008 concernant les frais, dépens et indemnités fixés par le Tribunal administratif fédéral [FITAF, RS 173.320.2]). (dispositif page suivante)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