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C-3024/2010 vom 23. August 2010</w:t>
      </w:r>
    </w:p>
    <w:p>
      <w:r>
        <w:t>Bundesverwaltungsgericht, 2010-08-23, DE</w:t>
      </w:r>
    </w:p>
    <w:p>
      <w:r>
        <w:rPr>
          <w:b/>
        </w:rPr>
        <w:t xml:space="preserve">Quelle: </w:t>
      </w:r>
      <w:r>
        <w:t>https://mcp.opencaselaw.ch/entscheid/bvger_C-3024_2010</w:t>
      </w:r>
    </w:p>
    <w:p>
      <w:r>
        <w:t>FR: TAF C-3024/2010 du 23 août 2010</w:t>
      </w:r>
    </w:p>
    <w:p>
      <w:r>
        <w:t>IT: TAF C-3024/2010 del 23 agosto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 entgegen den beschwerdeweise getätigten Ausführungen -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4.2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BVGE 2009/27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5</w:t>
      </w:r>
    </w:p>
    <w:p>
      <w:r>
        <w:t>Gemäss Anhang I zur Verordnung (EG) Nr. 539/2001 des Rates vom 15. März 2001 (ABl. L 81 vom 21.03.2001, S. 1-7) unterliegt die Gesuchstellerin als thailändische Staatsangehörige der Visumspflicht.</w:t>
      </w:r>
    </w:p>
    <w:p>
      <w:r>
        <w:rPr>
          <w:b/>
        </w:rPr>
        <w:t>E. 6.1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6.2</w:t>
      </w:r>
    </w:p>
    <w:p>
      <w:r>
        <w:t>Anhaltspunkte zur Beurteilung der fristgerechten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6.3</w:t>
      </w:r>
    </w:p>
    <w:p>
      <w:r>
        <w:t>Die Gesuchstellerin stammt aus Thailand. Die Wirtschaft dieses Landes hat sich nach der Asienkrise von 1997/98 deutlich erholt. Das Wachstum des Bruttoinlandproduktes belief sich 2009 auf -2.3% (nach dem tiefen Minuswachstum von -7.1% im 1. Quartal und dem Sprung von 5.8% im letzten Quartal). Die Wachstumsprognose für 2010 liegt zwischen 3.5% und 4.5%, dies jedoch unter Vorbehalt innenpolitischer Risiken, welche bereits in den Jahren 2005 bis 2008 für eine Verlangsamung des Wirtschaftswachstums sorgten (vgl. zu den wirtschaftlichen Indizes die Länder- und Reiseinformationen auf der Webseite des Auswärtigen Amtes, Länder- und Reiseinformationen &gt; Thailand &gt; Wirtschaft, &lt;http://www.auswaertiges-amt.de&gt;, Stand: April 2010, besucht im August 2010). Die grundsätzlich ermutigende wirtschaftliche Entwicklung kann nicht über die Tatsache hinwegtäuschen, dass nach wie vor breite Bevölkerungsschichten von vergleichsweise schwierigen ökonomischen und sozialen Lebensbedingungen betroffen sind. Das Bruttoinlandprodukt (BIP) pro Kopf betrug im Jahre 2009 nur gerade USD 4'401 (vgl. Staatssekretariat für Wirtschaft &gt; Themen &gt; Aussenwirtschaft &gt; Länderinformationen &gt; Asien/Ozeanien &gt; Thailand, &lt;http://www.seco.admin.ch&gt;, Stand: März 2009, besucht im August 2010).</w:t>
      </w:r>
    </w:p>
    <w:p>
      <w:r>
        <w:rPr>
          <w:b/>
        </w:rPr>
        <w:t>E. 6.4</w:t>
      </w:r>
    </w:p>
    <w:p>
      <w:r>
        <w:t>Vor dem Hintergrund der fortbestehenden ungünstigen Lebensverhältnisse ist - vor allem in der jüngeren Bevölkerung - ein starker Migrationsdruck festzustellen. Dabei gilt auch die Schweiz als Zielland vieler Auswanderer im erwerbsfähigen Alter, welche sich hier unter besseren Lebensbedingungen eine (neue) Existenz aufbauen möchten. Diese Tendenz zur Auswanderung wird erfahrungsgemäss dort noch begünstigt, wo bereits ein soziales Beziehungsnetz (Verwandte, Freunde) im Ausland besteht. Im Falle der Schweiz führt dies angesichts der restriktiven Zulassungsregelung oftmals zur Umgehung ausländerrechtlicher Bestimmungen. Dabei wird nicht selten versucht, den Aufenthalt zu verlängern oder - beispielsweise durch Ausbildung oder Heirat - auf eine andere migrationsrechtliche Grundlage zu stellen.</w:t>
      </w:r>
    </w:p>
    <w:p>
      <w:r>
        <w:rPr>
          <w:b/>
        </w:rPr>
        <w:t>E. 6.5</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fremdenpolizeilich nicht regelkonformes Verhalten (nach bewilligter Einreise zu einem Besuchsaufenthalt) hoch eingeschätzt werden.</w:t>
      </w:r>
    </w:p>
    <w:p>
      <w:r>
        <w:rPr>
          <w:b/>
        </w:rPr>
        <w:t>E. 7.1</w:t>
      </w:r>
    </w:p>
    <w:p>
      <w:r>
        <w:t>Bei der Gesuchstellerin handelt es sich um eine bald 25-jährige, ledige und kinderlose Frau. Aus den Akten ist lediglich bekannt, dass ihre Mutter und deren Ehemann in der Schweiz leben und sie keine Geschwister hat. Über ihre Wohn- und Lebensverhältnisse in Thailand wurden hingegen keine Angaben gemacht, weshalb nicht davon ausgegangen werden kann, im persönlichen oder familiären Umfeld der Eingeladenen seien besondere Verpflichtungen vorhanden, die sie nachhaltig von einer möglichen Emigration abhalten könnten.</w:t>
      </w:r>
    </w:p>
    <w:p>
      <w:r>
        <w:rPr>
          <w:b/>
        </w:rPr>
        <w:t>E. 7.2</w:t>
      </w:r>
    </w:p>
    <w:p>
      <w:r>
        <w:t>Die Eingeladene ist gemäss einem Bestätigungsschreiben seit dem 30. Juni 2008 bei der "Green World Publication Company ltd." angestellt und verdient monatlich THB 11'000. Damit verfügt sie zwar über eine feste Arbeitsstelle und ein regelmässiges Einkommen, von einer eigentlichen beruflichen Verankerung, die eine Emigration als unwahrscheinlich erscheinen liesse, kann hingegen nicht ausgegangen werden: So war sie erst 1½ Jahre bei ihrem jetzigen Arbeitgeber angestellt, als sie gegenüber der Schweizerischen Vertretung in Bangkok bereits den Wunsch äusserte, für 6 bis 12 Monate in die Schweiz zu kommen um zu studieren. Unklar bleibt, wie sich die lange Abwesenheit mit ihrer Anstellung hätte vereinbaren sollen. Von dieser ursprünglichen Planung abgerückt, möchte die Gesuchstellerin noch immer ohne zwingenden Grund die maximale Aufenthaltsdauer von drei Monaten ausschöpfen. Es kann somit nicht davon ausgegangen werden, dass die Gesuchstellerin der Sicherung des Arbeitsplatzes einen hohen Stellenwert einräumt. An dieser Einschätzung kann auch nichts ändern, dass der Arbeitgeber eine Zusicherung für die Wiederaufnahme im Betrieb nach der Rückkehr aus dem Auslandaufenthalt abgegeben hat.</w:t>
      </w:r>
    </w:p>
    <w:p>
      <w:r>
        <w:rPr>
          <w:b/>
        </w:rPr>
        <w:t>E. 7.3</w:t>
      </w:r>
    </w:p>
    <w:p>
      <w:r>
        <w:t>Aufgrund obgenannter Ausführungen sind bei der Gesuchstellerin keine eigentlichen Verpflichtungen oder Bindungen erkennbar, welche die Eingeladene verlässlich von einer Emigration abzuhalten vermöchten. Kommt hinzu, dass sowohl die Schweizerische Vertretung wie auch die Vorinstanz gewisse - durchaus begründete - Zweifel am deklarierten Aufenthaltszweck äusserten. Der Beschwerdeführer versäumte es in der Folge, diese Zweifel auszuräumen. Dies obwohl in der vorinstanzlichen Verfügung vom 1. April 2010 sowie der Vernehmlassung vom 24. Juni 2010 darauf hingewiesen wurde, die Gesuchstellerin habe gegenüber der Schweizervertretung die Absicht geäussert, einen längeren Aufenthalt in der Schweiz zu Studienzwecken absolvieren zu wollen.</w:t>
      </w:r>
    </w:p>
    <w:p>
      <w:r>
        <w:rPr>
          <w:b/>
        </w:rPr>
        <w:t>E. 8</w:t>
      </w:r>
    </w:p>
    <w:p>
      <w:r>
        <w:t>Vor dem allgemeinen und persönlichen Hintergrund durfte die Vorinstanz demnach davon ausgehen, dass keine hinreichende Gewähr für eine fristgerechte und anstandslose Wiederausreise der Gesuchstellerin nach einem Besuchsaufenthalt besteht. An dieser Beurteilung vermögen auch die Zusicherungen des Beschwerdeführers nichts zu ändern. Als Gastgeber kann er zwar - wie dies mit der Unterzeichnung des Formulars "Verpflichtungserklärung" geschehen ist - für gewisse finanzielle Risiken im Zusammenhang mit dem Besuchsaufenthalt Garantie leisten, aus nahe liegenden Gründen aber nicht für ein bestimmtes Verhalten seines Gastes garantieren. Denn bei der Abwägung des Risikos einer nicht fristgerechten Wiederausreise ist naturgemäss nicht so sehr die Haltung des Gastgebers, sondern in erster Linie das mögliche Verhalten des Gastes selbst von Bedeutung. Nur Letzterer ist in der Lage, hinreichend Gewähr für seine Rückkehrbereitschaft zu bieten (BVGE 2009/27 E. 9).</w:t>
      </w:r>
    </w:p>
    <w:p>
      <w:r>
        <w:rPr>
          <w:b/>
        </w:rPr>
        <w:t>E. 9</w:t>
      </w:r>
    </w:p>
    <w:p>
      <w:r>
        <w:t>Aus den dargelegten Gründen ist daher nicht zu beanstanden, dass die Vorinstanz das öffentliche Interesse sowie die Beachtung der geltenden Bestimmungen entsprechend gewichtete und der Gesuchstellerin die Einreise verweigerte. Die angefochtene Verfügung ist somit im Ergebnis rechtmässig (Art. 49 VwVG). Die Beschwerde ist demzufolge abzuweisen.</w:t>
      </w:r>
    </w:p>
    <w:p>
      <w:r>
        <w:rPr>
          <w:b/>
        </w:rPr>
        <w:t>E. 10</w:t>
      </w:r>
    </w:p>
    <w:p>
      <w:r>
        <w:t>Entsprechend dem Ausgang des Verfahrens wird der unterliegende Beschwerdeführer kostenpflichtig (Art. 63 Abs. 1 VwVG). Die Verfahrenskosten sind auf Fr. 700.- festzusetzen (Art. 1 ff. des Reglements über die Kosten und Entschädigungen vor dem Bundesverwaltungsgericht vom 21. Februar 2008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