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C-3019/2008 vom 29. April 2010</w:t>
      </w:r>
    </w:p>
    <w:p>
      <w:r>
        <w:t>Bundesverwaltungsgericht, 2010-04-29, DE</w:t>
      </w:r>
    </w:p>
    <w:p>
      <w:r>
        <w:rPr>
          <w:b/>
        </w:rPr>
        <w:t xml:space="preserve">Quelle: </w:t>
      </w:r>
      <w:r>
        <w:t>https://mcp.opencaselaw.ch/entscheid/bvger_C-3019_2008</w:t>
      </w:r>
    </w:p>
    <w:p>
      <w:r>
        <w:t>FR: TAF C-3019/2008 du 29 avril 2010</w:t>
      </w:r>
    </w:p>
    <w:p>
      <w:r>
        <w:t>IT: TAF C-3019/2008 del 29 aprile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vorgesehen.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Streitig und im vorliegenden Verfahren zu prüfen ist, ob der Betrieb der Beschwerdeführerin (zwingend) in den Tätigkeitsbereich der Suva fällt und demzufolge die in diesem Betrieb Beschäftigten obligatorisch bei der Suva gegen Unfall zu versichern sind.</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Urteil BGer 8C_256/2009 vom 8. Juni 2009 [publiziert in SVR 2009 UV Nr. 58] E. 4.2 mit Hinweisen).</w:t>
      </w:r>
    </w:p>
    <w:p>
      <w:r>
        <w:rPr>
          <w:b/>
        </w:rPr>
        <w:t>E. 3.2</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nur Arbeiten ausführt, die in den üblichen Tätigkeitsbereich eines Betriebs dieser Art fallen (Urteil BGer 8C_256/2009 vom 8. Juni 2009 [publiziert in SVR 2009 UV Nr. 58] E. 3.2.2 mit Hinweisen; RKUV 2004 Nr. U 498 S. 162 f. E. 4.2 und 4.3; BGE 113 V 327 E. 5b, 113 V 346 E. 3b).</w:t>
      </w:r>
    </w:p>
    <w:p>
      <w:r>
        <w:rPr>
          <w:b/>
        </w:rPr>
        <w:t>E. 3.3</w:t>
      </w:r>
    </w:p>
    <w:p>
      <w:r>
        <w:t>Das Tätigkeitsgebiet der Beschwerdeführerin umfasst den Verkauf und die Montage/Demontage von Zäunen (aus Holz und Eisen) sowie von Toren. Weiter bietet sie Sichtschutzwände, Gartenhäuser, Schlossereiarbeiten, Handläufe sowie Innen- und Aussengeländer an. Im Bereich Verkauf/ Handel werden Lager- und Umschlagsarbeiten für Baumaterialien und Holzwerkstoffe ausgeführt (vgl. Akt. 7/3-5, siehe auch www._______ [besucht am 25. März 2010]). Ob es sich dabei um einen einzigen zusammenhängenden Tätigkeitsbereich bzw. um einen ungegliederten Betrieb handelt, kann offen bleiben, weil verschiedene Tätigkeiten eine Suva-Zuständigkeit begründen. Selbst wenn von einem gemischten Betrieb im Sinne von Art. 88 Abs. 2 UVV auszugehen wäre, wären die einzelnen Betriebsteile der Suva zu unterstellen.</w:t>
      </w:r>
    </w:p>
    <w:p>
      <w:r>
        <w:rPr>
          <w:b/>
        </w:rPr>
        <w:t>E. 3.3.1</w:t>
      </w:r>
    </w:p>
    <w:p>
      <w:r>
        <w:t>Gemäss Art. 66 Abs. 1 UVG fallen - soweit vorliegend von Bedeutung - folgende Betriebe in den Tätigkeitsbereich der Suva: Betriebe des Bau- und Installationsgewerbes sowie des Leitungsbaus (Bst. b), Betriebe die Metall, Holz, Kork, Kunststoffe, Stein oder Glas maschinell bearbeiten sowie Giessereien (Bst. e) und Handelsbetriebe, die mit Hilfe von Maschinen schwere Waren (mindestens 50 kg) in grosser Menge (Gesamtgewicht von mindestens 50 Tonnen) lagern (Bst. h in Verbindung mit Art. 79 UVV). Als Betriebe des Bau- und Installationsgewerbes sowie des Leitungsbaus im Sinne von Art. 66 Abs. 1 Bst. b UVG gelten solche, die in irgendeinem Zweig des Baugewerbes tätig sind oder Bestandteile für Bauten oder Bauwerke herstellen (Art. 73 Bst. a UVV).</w:t>
      </w:r>
    </w:p>
    <w:p>
      <w:r>
        <w:rPr>
          <w:b/>
        </w:rPr>
        <w:t>E. 3.3.2</w:t>
      </w:r>
    </w:p>
    <w:p>
      <w:r>
        <w:t>Die Beschwerdeführerin bestreitet nicht, dass sie baugewerbliche Arbeiten ausführt, Holz und Metall maschinell bearbeitet sowie als Handelsbetrieb im Sinne von Art. 66 Bst. h UVG in Verbindung mit Art. 79 UVV zu qualifizieren ist. Vielmehr macht sie geltend, sie sei seit 30 Jahren bei einem Versicherer nach Art. 68 UVG versichert und möchte als Versicherungsnehmerin den Versicherer selber wählen können.</w:t>
      </w:r>
    </w:p>
    <w:p>
      <w:r>
        <w:rPr>
          <w:b/>
        </w:rPr>
        <w:t>E. 3.3.3</w:t>
      </w:r>
    </w:p>
    <w:p>
      <w:r>
        <w:t>Die Möglichkeit, den Unfallversicherer zu wählen, besteht nur, wenn ein Betrieb in den Zuständigkeitsbereich der Versicherer nach Art. 68 UVG fällt (vgl. Art. 69 UVG). Betriebe die ein oder mehrere Merkmale von Art. 66 Abs. 1 UVG erfüllen, sind - abgesehen von hier nicht massgebenden Ausnahmen (vgl. Art. 66 Abs. 2 und 3 UVG Art. 88 f. UVV) - von Gesetzes wegen bei der Suva versichert (vgl. E. 3.1 hiervor). Daran vermag auch der Umstand nichts zu ändern, dass die Beschwerdeführerin seit 30 Jahren bei einem Versicherer nach Art. 68 UVG versichert war. Gemäss Art. 59 Abs. 1 Satz 2 UVG hat der Arbeitgeber der Suva innert 14 Tagen die Eröffnung oder Einstellung eines Betriebes zu melden, dessen Arbeitnehmer ihr unterstellt sind. Nach der Rechtsprechung verbietet denn auch der Vertrauensschutz der Suva nicht, Betriebe zu unterstellen, die bereits seit mehreren Jahren bei einem Versicherer gemäss Art. 68 UVG versichert sind (Urteil BVGer C-5670/2007 vom 4. Februar 2009 E. 5 mit Hinweisen, siehe auch Urteil BVGer C-1040/2008 vom 26. Januar 2010 E. 3.3). Würde man anders entscheiden, würde dies Art. 59 Abs. 1 UVG widersprechen, wonach das Versicherungsverhältnis bei der Suva in der obligatorischen Versicherung durch Gesetz - nicht durch Vertrag - begründet wird (Satz 1). Dass die Suva, sofern ein Betrieb seine Arbeitnehmenden bereits bei einem Privatversicherer versichert hatte, nach ständiger Praxis die Unterstellung erst nach rechtskräftigem Unterstellungsentscheid für die Zukunft vollzieht (vgl. Urteil BVGer C-5670/2007 vom 4. Februar 2009 E. 3.2 mit Hinweisen), ändert an dieser gesetzlichen Ordnung nichts (vgl. Urteil BVGer C-2949/2008 vom 16. März 2010 E. 3.3.4, siehe auch Urteil BGer 8C_293/2009 vom 23. Oktober 2009 E. 6.4).</w:t>
      </w:r>
    </w:p>
    <w:p>
      <w:r>
        <w:rPr>
          <w:b/>
        </w:rPr>
        <w:t>E. 3.4</w:t>
      </w:r>
    </w:p>
    <w:p>
      <w:r>
        <w:t>Zusammenfassend ergibt sich, dass die Suva den Betrieb der Beschwerdeführerin zu Recht ihrem Zuständigkeitsbereich unterstellt hat. Der angefochtene Einspracheentscheid ist demnach zu bestätigen und die Beschwerde abzuweisen.</w:t>
      </w:r>
    </w:p>
    <w:p>
      <w:r>
        <w:rPr>
          <w:b/>
        </w:rPr>
        <w:t>E. 4</w:t>
      </w:r>
    </w:p>
    <w:p>
      <w:r>
        <w:t>Zu befinden bleibt noch über die Verfahrenskosten und eine allfällige Parteientschädigung.</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