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C-3018/2011 vom 27. August 2012</w:t>
      </w:r>
    </w:p>
    <w:p>
      <w:r>
        <w:t>Bundesverwaltungsgericht, 2012-08-27, IT</w:t>
      </w:r>
    </w:p>
    <w:p>
      <w:r>
        <w:rPr>
          <w:b/>
        </w:rPr>
        <w:t xml:space="preserve">Quelle: </w:t>
      </w:r>
      <w:r>
        <w:t>https://mcp.opencaselaw.ch/entscheid/bvger_C-3018_2011</w:t>
      </w:r>
    </w:p>
    <w:p>
      <w:r>
        <w:t>FR: TAF C-3018/2011 du 27 août 2012</w:t>
      </w:r>
    </w:p>
    <w:p>
      <w:r>
        <w:t>IT: TAF C-3018/2011 del 27 agosto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dalla legge federale del 20 dicembre 1968 sulla procedura amministrativa (PA, RS 172.021) prese dalle autorità menzionate all'art. 33 LTF. In particolare, le decisioni in materia di divieto d'entrata in Svizzera rese dall'UFM - il quale costituisce un'unità dell'amministrazione federale come definita all'art. 33 let. d LTAF - possono essere impugnate dinanzi al TAF, il quale - nella fattispecie - statuisce in via definitiva (cfr. art. 1 cpv. 2 LTAF in relazione con l'art. 83 let. c cifra 1 della legge del 17 giugno 2005 sul Tribunale federale [LTF, RS 173.110]).</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w:t>
      </w:r>
    </w:p>
    <w:p>
      <w:r>
        <w:rPr>
          <w:b/>
        </w:rPr>
        <w:t>E. 3.1</w:t>
      </w:r>
    </w:p>
    <w:p>
      <w:r>
        <w:t>Giusta l'art. 5 cpv. 1 della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Questa disposizione, relativa all'entrata in territorio svizzero, si applica soltanto se gli Accordi di associazione alla normativa di Schengen non contemplino disposizioni divergenti (art. 2 cpv. 4 LStr).</w:t>
      </w:r>
    </w:p>
    <w:p>
      <w:r>
        <w:rPr>
          <w:b/>
        </w:rPr>
        <w:t>E. 3.2</w:t>
      </w:r>
    </w:p>
    <w:p>
      <w:r>
        <w:t>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w:t>
      </w:r>
    </w:p>
    <w:p>
      <w:r>
        <w:rPr>
          <w:b/>
        </w:rPr>
        <w:t>E. 3.3</w:t>
      </w:r>
    </w:p>
    <w:p>
      <w:r>
        <w:t>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tre mesi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3.4</w:t>
      </w:r>
    </w:p>
    <w:p>
      <w:r>
        <w:t>In virtù dell'Allegato I al Regolamento CE 539/2001 nonché in assenza di accordi specifici tra la Svizzera e la Russia, i cittadini russi che si recano in Svizzera devono essere in possesso di un visto d'entrata.</w:t>
      </w:r>
    </w:p>
    <w:p>
      <w:r>
        <w:rPr>
          <w:b/>
        </w:rPr>
        <w:t>E. 4</w:t>
      </w:r>
    </w:p>
    <w:p>
      <w:r>
        <w:t>Giusta l'art. 10 cpv. 1 LStr per un soggiorno di tre mesi al massimo senza attività lucrativa lo straniero non necessita di un permesso, a meno che nel visto è fissato un soggiorno di durata inferiore; inoltre lo straniero che intende soggiornare in Svizzera per oltre tre mesi senza attività lucrativa necessita di un permesso (art. 10 cpv. 2 LStr). L'ordinanza del 24 ottobre 2007 sull'ammissione, il soggiorno e l'attività lucrativa (OASA, 142.201) precisa all'art. 9 cpv. 1 OASA che per un soggiorno non superiore a tre mesi in un arco di tempo di sei mesi dall'entrata, lo straniero senza attività lucrativa in Svizzera non è tenuto né ad avere un permesso né a notificarsi (soggiorno esente da permesso). Se del caso, l'interessato è tenuto a dimostrare la data dell'entrata mediante documenti idonei (art. 9 cpv. 2 OASA).</w:t>
      </w:r>
    </w:p>
    <w:p>
      <w:r>
        <w:rPr>
          <w:b/>
        </w:rPr>
        <w:t>E. 5.1</w:t>
      </w:r>
    </w:p>
    <w:p>
      <w:r>
        <w:t>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w:t>
      </w:r>
    </w:p>
    <w:p>
      <w:r>
        <w:rPr>
          <w:b/>
        </w:rPr>
        <w:t>E. 5.2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w:t>
      </w:r>
    </w:p>
    <w:p>
      <w:r>
        <w:rPr>
          <w:b/>
        </w:rPr>
        <w:t>E. 5.3</w:t>
      </w:r>
    </w:p>
    <w:p>
      <w:r>
        <w:t>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menzionato, FF 2002 3424). L'art. 80 cpv. 1 lett. a OASA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dunque che i reati perpetrati contro le norme del diritto degli stranieri, rappresen­tano quindi delle violazioni di legge, sanzionate secondo gli art. 115 e segg. della legge federale sugli stranieri (LStr, RS 142.20), e pos­so­no in quanto tali condurre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5.4</w:t>
      </w:r>
    </w:p>
    <w:p>
      <w:r>
        <w:t>Qualora una decisione di divieto di entrata è stata pronunciata ai sensi dell'art. 67 LStr nei confronti di un cittadino di uno Stato non parte agli Accordi di asso­ciazione alla normativa di Schengen (elencati nell'allegato 1 cifra LStr), questi -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 viene di principio segna­lato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5.5</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6.1</w:t>
      </w:r>
    </w:p>
    <w:p>
      <w:r>
        <w:t>Nella fattispecie l'UFM ha pronunciato nei confronti di A._______ un divieto di entrata di 2 anni con validità sino al 10 febbraio 2013, ritenendo che l'interessata abbia violato e minacciato la sicurezza e l'ordine pubblico, per essere entrata il 17 luglio e il 7 ottobre 2010 nonché per avere soggiornato tra il 13 aprile ed il 4 novembre 2010 in Svizzera, senza valido permesso.</w:t>
      </w:r>
    </w:p>
    <w:p>
      <w:r>
        <w:rPr>
          <w:b/>
        </w:rPr>
        <w:t>E. 6.2</w:t>
      </w:r>
    </w:p>
    <w:p>
      <w:r>
        <w:t>A._______ ha riconosciuto la violazione alla LStr, in particolare le entrate e il soggiorno illegale, rilevando comunque di avere commesso l'infrazione per negligenza. Essa ha però contestato di aver costituito un pericolo per l'ordine pubblico e la sicurezza interni giusta i combinati disposti degli art. 64d e 67 LStr, poiché, se così fosse stato, "l'ordine di allontanamento doveva essere impartito in un termine inferiore ai sette giorni".</w:t>
      </w:r>
    </w:p>
    <w:p>
      <w:r>
        <w:rPr>
          <w:b/>
        </w:rPr>
        <w:t>E. 6.3</w:t>
      </w:r>
    </w:p>
    <w:p>
      <w:r>
        <w:t>Alla luce delle disposizioni legali sopra esposte, il Tribunale sottolinea che la commissione per negligenza non comporta un'esenzione o attenuazione del divieto d'entrata quale misura amministrativa ai sensi dell'art. 67 Str. Inoltre, considerato che la ricorrente avrebbe beneficiato nel passato di diversi visti di entrata, a maggior ragione essa doveva essere a conoscenza dei termini di entrata ed uscita dal territorio svizzero. Inoltre va rilevato che la decisione di divieto d'entrata in esame non si fonda sui combinati disposti art. 67 cpv. 1 let. a e 64d cpv. 2 let. a LStr, come lascerebbe intendere la ricorrente, in base ai quali qualora lo straniero "costituisce un pericolo per l'ordine e la sicurezza pubblici" un termine di allontanamento può essere inferiore a 7 giorni, bensì sull'art. 67 cpv. 2 LStr che dà facoltà all'UFM di vietare l'entrata qualora lo straniero ha violato l'ordine e la sicurezza pubblici. In proposito, A._______ ha riconosciuto di aver infranto le norme relative all'ammissione e al soggiorno, e pertanto, giusta l'art. 80 cpv. 1 lett. a OASA sopracitato, vi è violazione della sicurezza e dell'ordine pubblici, con conseguente facoltà all'UFM di emanare, a giusta ragione, il divieto di entrata. Considerato che A._______ non ha avuto il comportamento che è giustificato attendersi da ogni straniero che desidera entrare e soggiornare in questo paese, il divieto di entrata pronunciato dall'UFM appare giustificato.</w:t>
      </w:r>
    </w:p>
    <w:p>
      <w:r>
        <w:rPr>
          <w:b/>
        </w:rPr>
        <w:t>E. 7</w:t>
      </w:r>
    </w:p>
    <w:p>
      <w:r>
        <w:t>Essendo la decisione di divieto d'entrata in Svizzera confermata nel suo principio, resta ora da stabilire se la durata della misura di allontanamento adottata dall'UFM, prevista per un periodo di 2 anni, è adeguata alle circostanze del caso concreto (cfr. art. 49 lett. c PA).</w:t>
      </w:r>
    </w:p>
    <w:p>
      <w:r>
        <w:rPr>
          <w:b/>
        </w:rPr>
        <w:t>E. 7.1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7.2</w:t>
      </w:r>
    </w:p>
    <w:p>
      <w:r>
        <w:t>Nella fattispecie la ricorrente non ha contestato l'entrata illegale a due riprese e il soggiorno senza valido permesso. Anzi essa ha ammesso: "in sostanza, dopo 12 giorni di soggiorno durante la terza entrata (1.4.2010/24.5.2010) avevo già esaurito i 90 giorni previsti dal visto. Ciò comporta che per le 2 successive entrate e i rispettivi soggiorni sono entrata ed ho soggiornato illegalmente" (verbale di interrogatorio della polizia cantonale del Canton Ticino, pag. 2). In proposito va detto che le infrazioni di cui si è resa protagonista A._______ rivestono un carattere di gravità certo in quanto sono espressamente sanzionate dalle disposizioni penali di cui all'art. 115 cpv. 1 let a e b LStr. Entrando e soggiornando in modo illegale in Svizzera essa ha quindi indiscutibilmente violato le normative in materia di diritto degli stranieri, reati per i quali l'art. 80 cpv. 1 let. a OASA prescrive che vi è conseguente violazione della sicurezza e dell'ordine pubblici, e per i quali possono esserci quale conseguenza l'emissione del divieto d'entrata sul territorio svizzero (cfr. Messaggio precitato FF 2002 pag. 3429). D'altro canto l'interesse della ricorrente all'annullamento dalla decisione amministrativa va ricercato sostanzialmente nell'asserita necessità di controlli due volte all'anno presso il Cardiocentro Ticino e nel desiderio di rendere visita al proprio figlio e alla sua famiglia. Per quanto attiene alla prima motivazione, va tuttavia indicato, come già ricordato da questo Tribunale con decisione incidentale del 24 giugno 2011, che l'interessata ha la facoltà di postulare all'UFM la sospensione del divieto d'entrata per un periodo limitato, cosa peraltro non avvenuta; per quanto riguarda invece il desiderio di visitare i propri parenti in Svizzera - peraltro comprensibile - essa non ha allegato un'impellente e importante necessità; inoltre, seppur con qualche difficoltà, i rapporti interpersonali possono essere mantenuti nel proprio Paese d'origine dove i famigliari possono renderle visita, come pure con conversazioni video/telefoniche. Va detto infine, e come già rilevato con la decisione incidentale del 24 giugno 2011 che l'art. 8 della Convenzione del 4 novembre 1950 per la salvaguardia dei diritti e delle libertà fondamentali (CEDU, RS 0.101) non trova applicazione, poiché esso interviene unicamente nel quadro dei rapporti tra i coniugi, nonché nei rapporti tra i genitori e figli minorenni che vivono in comunione, e solo eccezionalmente sono presi in considerazione i rapporti tra i genitori e i figli maggiorenni (DTF 129 II 11 consid. 2, pag. 14). Ne consegue dunque che, tenuto conto dell'insieme degli elementi oggettivi e soggettivi della causa, il Tribunale ritiene quindi che l'interesse pubblico all'allontanamento della ricorrente dalla Svizzera prevale su quello privato di quest'ultima ad entrarvi. Di conseguenza, da una corretta valutazione degli interessi pubblici e privati in gioco, emerge che il divieto d'entrata di 2 anni appare proporzionato ed adeguato alle circostanze del caso concreto (art. 49 lett. c PA).</w:t>
      </w:r>
    </w:p>
    <w:p>
      <w:r>
        <w:rPr>
          <w:b/>
        </w:rPr>
        <w:t>E. 8</w:t>
      </w:r>
    </w:p>
    <w:p>
      <w:r>
        <w:t>Ne discende che l'UFM con la decisione dell'11 febbraio 2011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restano a carico della ricorrente (art. 63 cpv. 1 PA in relazione con gli art. 1-3 del regolamento del 21 febbraio 2008 sulle tasse e sulle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