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C-3018/2008 vom 23. Februar 2011</w:t>
      </w:r>
    </w:p>
    <w:p>
      <w:r>
        <w:t>Bundesverwaltungsgericht, 2011-02-23, FR</w:t>
      </w:r>
    </w:p>
    <w:p>
      <w:r>
        <w:rPr>
          <w:b/>
        </w:rPr>
        <w:t xml:space="preserve">Quelle: </w:t>
      </w:r>
      <w:r>
        <w:t>https://mcp.opencaselaw.ch/entscheid/bvger_C-3018_2008</w:t>
      </w:r>
    </w:p>
    <w:p>
      <w:r>
        <w:t>FR: TAF C-3018/2008 du 23 février 2011</w:t>
      </w:r>
    </w:p>
    <w:p>
      <w:r>
        <w:t>IT: TAF C-3018/2008 del 23 febbraio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 mais il est également fait référence aux dispositions en vigueur antérieures s'agissant du droit à la rente jusqu'au 31 décembre 2007.</w:t>
      </w:r>
    </w:p>
    <w:p>
      <w:r>
        <w:rPr>
          <w:b/>
        </w:rPr>
        <w:t>E. 4</w:t>
      </w:r>
    </w:p>
    <w:p>
      <w:r>
        <w:t>La recourante a présenté sa demande de rente le 5 décembre 2003.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5 décembre 2002 ou si le droit à une rente était né entre cette date et le 16 avril 2008, date de la décision attaquée marquant la limite dans le temps du pouvoir d'examen de l'autorité de recours (ATF 129 V 1 consid. 2.1 et ATF 121 V 362 consid. 1b).</w:t>
      </w:r>
    </w:p>
    <w:p>
      <w:r>
        <w:rPr>
          <w:b/>
        </w:rPr>
        <w:t>E. 5</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d'une année au total et remplit, partant, la condition de la durée minimale de cotisations en vigueur au jour du dépôt de sa demande.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Antérieurement au 1er janvier 2004 l'assuré avait droit à un quart de rente dès une invalidité de 40% au moins, à une demi-rente dès une invalidité de 50% au moins et à une rente entière dès une invalidité de 66.66% au moins.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La recourante a travaillé en dernier lieu à mi-temps en France comme auxiliaire de bibliothèque universitaire jusqu'en juin 1999. Elle n'a ensuite plus exercé d'activité lucrative. Or, la notion d'invalidité, dont il est question à l'art. 8 LPGA et à l'art. 4 LAI, est de nature juridique/écono-mique et non pas médicale (ATF 116 V 246 consid. 1b).</w:t>
      </w:r>
    </w:p>
    <w:p>
      <w:r>
        <w:rPr>
          <w:b/>
        </w:rPr>
        <w:t>E. 7.2</w:t>
      </w:r>
    </w:p>
    <w:p>
      <w:r>
        <w:t>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2bis LAI et 27 du règlement du 17 janvier 1961 sur l'assurance-invalidité [RAI, RS 831.201]; art. 28a al. 2 LAI à compter du 1er janvier 2008) telles les tâches domestiques (méthode spécifique). Si l'assuré exerçait une activité à temps partiel il convient de pondérer les deux méthodes (méthode mixte) en fonction du temps alors attribué à l'activité lucrative et aux activités domestiques (art. 28 al. 2ter LAI et 27bis RAI; art. 28a al. 3 LAI à compter du 1er janvier 2008 avec modification rédactionnelle). L'invalidité de l'assuré est évaluée selon l'une ou l'autre de ces trois méthodes en fonction de ce qu'il aurait fait dans les mêmes circonstances si l'atteinte à la santé n'était pas survenue.</w:t>
      </w:r>
    </w:p>
    <w:p>
      <w:r>
        <w:rPr>
          <w:b/>
        </w:rPr>
        <w:t>E. 7.3</w:t>
      </w:r>
    </w:p>
    <w:p>
      <w:r>
        <w:t>En l'espèce, vu le dossier, il doit être retenu comme base de l'appréciation de l'invalidité économique de l'intéressée, cas échéant, un statut d'employée à mi-temps (méthode mixte).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la recourante souffre notamment de douleurs à la cheville gauche consécutives à une algodystrophie ayant fait suite à une entorse grave et fracture de la cheville et de lombalgies basses invalidantes ainsi que de troubles néphrologiques traitables ne justifiant pas d'une incapacité de travail.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10.1</w:t>
      </w:r>
    </w:p>
    <w:p>
      <w:r>
        <w:t>En l'espèce l'intéressée, au bénéfice d'une formation académique, a exercé une activité d'auxiliaire (à mi-temps) de bibliothèque universitaire, qualifiée de légère par son employeur, de janvier 1997 à juin 1999 puis a été au chômage. De janvier à août 2003 elle a perçu une rente d'invalidité française de 1ère catégorie puis sa rente de vieillesse française. En août 2000 elle subit un accident de la cheville qui ne fut diagnostiqué qu'ultérieurement en tant qu'entorse grave et fracture. En effet, un rapport d'imagerie médicale daté du 28 août 2000 ne releva pas d'altération de la structure osseuse, ni de fracture, ni de calcification pathologique. En février 2003 le Dr E._______ posa le diagnostic d'algodystrophie des suites d'une fracture de la cheville gauche et attesta d'une incapacité de travail de 2/3% en raison des douleurs ressenties. Ce diagnostic fut posé à la suite du rapport de la Dresse F. Bach, rhumatologue, qui également avait retenu en date du 14 novembre 2002 un status séquellaire algodystrophique de la cheville gauche sans toutefois retenir d'incapacité de travail. En date du 20 janvier 2004 le Dr G._______ releva que l'algodystrophie de la cheville gauche posait encore des problèmes à la marche. Ce médecin ne mentionna pas de marche précautionneuse ni l'utilisation d'un fauteuil roulant. Par contre, près de quatre ans plus tard, il retint une incapacité de 2/3% en raison de l'algodystrophie en date du 21 novembre 2007 précédant la consultation du 27 novembre 2007 relative à l'établissement du rapport E 213 pour l'OAIE.</w:t>
      </w:r>
    </w:p>
    <w:p>
      <w:r>
        <w:rPr>
          <w:b/>
        </w:rPr>
        <w:t>E. 10.2</w:t>
      </w:r>
    </w:p>
    <w:p>
      <w:r>
        <w:t>Il appert des faits ici relatés que le status d'invalidité de catégorie 1 de droit français a été reconnu à l'intéressée pour une courte période précédant sa retraite et à la suite d'une période sans emploi en raison de douleurs qui pouvaient avoir été à cette période particulièrement importantes et du fait qu'il n'était pas envisageable pour l'intéressée de retrouver un emploi à quelques mois de la retraite selon le droit français, de sorte qu'un status invalidant pouvait se justifier. Par ailleurs, il sied de relever que l'intéressée ne présente pas d'autres atteintes à la santé d'importance justifiant une incapacité de travail au regard de la législation sur l'assurance-invalidité. Comme la Dresse J._______ l'a relevé, les atteintes néphrologiques de l'intéressée sont toutes traitables et non constitutives d'une incapacité de travail. Selon les plaintes de l'intéressée, les longs trajets la fatiguent et sont douloureux. Sur le plan clinique ces douleurs résultent de séquelles algodystrophiques du fait de la grave entorse et fracture de la cheville qui n'a pas été diagnostiquée suite à l'accident en 2000. Dans un rapport du 20 janvier 2004 le Dr G._______ a indiqué que l'algodystrophie de la cheville gauche posait encore des problèmes à la marche. Cette formulation indique l'existence d'un handicap à la marche et la documentation médicale au dossier l'atteste. Le 21 novembre 2007 le Dr G._______ retint une incapacité de travail de 2/3% en raison de l'algodystrophie mais aucun document médical au dossier n'objective une aggravation depuis 2004 et le 21 novembre 2007 le médecin en charge du rapport E 213 n'a pu examiner la cheville de l'intéressée qui s'y est opposée bien qu'elle soit venue à la consultation avec un fauteuil roulant en raison même des séquelles algodystrophiques à sa cheville, mais qui a néanmoins pu marcher sur la pointe des pieds et les talons selon le rapport d'expert. Par ailleurs, il sied de relever que le Dr I._______, orthopédiste, a le 13 février 2006 retenu le diagnostic d'entorse de la cheville gauche, avec importantes douleurs alléguées, sans oedème ni hématome et une mobilité de la cheville normale, relevant son intégrité osseuse démontrée par les radiographies.</w:t>
      </w:r>
    </w:p>
    <w:p>
      <w:r>
        <w:rPr>
          <w:b/>
        </w:rPr>
        <w:t>E. 10.3</w:t>
      </w:r>
    </w:p>
    <w:p>
      <w:r>
        <w:t>Il s'ensuit de ce qui précède que c'est à raison que la Dresse J._______ n'a retenu aucune invalidité chez l'intéressée au sens de la LAI, à savoir une perte de la capacité de travail et de gain d'au moins 40% pendant une année du fait qu'il est exigible d'attendre de la recourante de formation universitaire qu'elle utilise sa capacité de travail résiduelle, notamment intellectuelle, dans une mesure correspondant au moins aux 60% de son activité antérieure ou dans toute autre activité légère de même genre de type administratif sédentaire, étant par ailleurs relevé que l'utilisation d'une chaise roulante n'est en soi pas constitutive d'une incapacité de travail pour des activités sédentaires de type administratif et intellectuel correspondantes aux facultés et possibilités de l'intéressée. Dans l'exercice de ses tâches ménagères, l'intéressée n'est pas non plus limitée dans une mesure d'au moins 40%. On relèvera d'ailleurs que l'expertise E 213 ne retient aucune invalidité, estimant l'intéressée capable de reprendre ses travaux habituels sans aucune restriction.</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En l'espèce, dans la mesure où la capacité de travail de l'intéressée est encore de 100% dans son ancienne activité exercée antérieurement à 50% ou dans une activité de type administrative sédentaire légère analogue mettant à profit ses capacités intellectuelles, le revenu qu'elle pourrait en obtenir ne donne pas lieu à une incapacité de travail et de gain (comparaison en pour-cent; ATF 114 V 310 consid. 3a; 104 V 135 consid. 2b). Dans cette approche de l'invalidité économique, un abattement pour raisons personnelles, notamment en raison de l'âge de l'intéressée, voire en raison de quelques limitations dans les déplacements, ne pourrait être pris qu'à hauteur de 25% au plus et ne déterminerait pas une incapacité de gain de 40%, seuil ouvrant le droit à un quart de rente d'invalidité. Par ailleurs, dans les tâches ménagères, il n' a pas été relevé une incapacité de travail d'au moins 40%. Vu ce qui précède, le recours doit être rejeté et la décision attaquée être confirmée.</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13.1</w:t>
      </w:r>
    </w:p>
    <w:p>
      <w:r>
        <w:t>Les frais de procédure, fixés à CHF 400.-, sont mis à la charge de la recourante (art. 63 al. 1 PA, applicable par le truchement de l'art. 37 LTAF). Ils sont compensés par l'avance de frais du même montant dont elle s'est acquittée au cours de l'instruction.</w:t>
      </w:r>
    </w:p>
    <w:p>
      <w:r>
        <w:rPr>
          <w:b/>
        </w:rPr>
        <w:t>E. 13.2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