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C-3017/2012 vom 21. Mai 2013</w:t>
      </w:r>
    </w:p>
    <w:p>
      <w:r>
        <w:t>Bundesverwaltungsgericht, 2013-05-21, IT</w:t>
      </w:r>
    </w:p>
    <w:p>
      <w:r>
        <w:rPr>
          <w:b/>
        </w:rPr>
        <w:t xml:space="preserve">Quelle: </w:t>
      </w:r>
      <w:r>
        <w:t>https://mcp.opencaselaw.ch/entscheid/bvger_C-3017_2012</w:t>
      </w:r>
    </w:p>
    <w:p>
      <w:r>
        <w:t>FR: TAF C-3017/2012 du 21 mai 2013</w:t>
      </w:r>
    </w:p>
    <w:p>
      <w:r>
        <w:t>IT: TAF C-3017/2012 del 21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e si applica quindi in concreto, visto che la decisione impugnata è stata emanata l'8 maggio 2012.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L'esame del diritto a prestazioni secondo la LAI è retto dal tenore della stessa al momento della decisione impugnata, ritenuto tuttavia il principio secondo il quale le norme applicabili sono quelle in vigore al momento in cui dei fatti giuridicamente rilevanti si sono verificati (DTF 130 V 445 consid. 1.2). Le disposizioni della 6a revisione della LAI (primo pacchetto di misure), in vigore dal 1° gennaio 2012 (RU 2011 5659; FF 2010 1603), sono dunque applicabili in concreto, come lo sono le disposizioni della LPGA, se e per quanto la LAI lo preveda (art. 2 LPGA).</w:t>
      </w:r>
    </w:p>
    <w:p>
      <w:r>
        <w:rPr>
          <w:b/>
        </w:rPr>
        <w:t>E. 3.2</w:t>
      </w:r>
    </w:p>
    <w:p>
      <w:r>
        <w:t>Il giudice delle assicurazioni sociali analizza la legalità della decisione impugnata, in generale, secondo lo stato di fatto esistente al mo­mento in cui la decisione in lite è stata resa (DTF 130 V citata). Egli può tuttavia tenere conto dei fatti ve­rificatisi dopo la data della decisione impugnata quando essi possono im­porsi quali elementi d'accertamento retrospettivo della situazione ante­riore alla decisione stessa (DTF 130 V 138, vedi anche 121 V 366 consid. 1b, 116 V 248 consid. 1a). Ne discende che, in concreto, il periodo di cognizione di questo Tribunale si estende fino all'8 maggio 2012.</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5</w:t>
      </w:r>
    </w:p>
    <w:p>
      <w:r>
        <w:t>La ricorrente contesta la validità materiale della decisione dell'UAIE, chiedendo che le sia riconosciuto il diritto ad una rendita intera d'invalidità anche dopo l'aprile 2010.</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il 16 novembre 2007 e la decisione di revisione qui impugnata è stata emessa l'8 maggio 2012. Ne consegue che, seguendo la giurisprudenza, il periodo di riferimento per giudicare se verosimilmente è intervenuta una modifica rilevante del grado d'invalidità, tale da giustificare la soppressione della rendita, come disposto dall'UAIE, è quello che intercorre tra queste due date.</w:t>
      </w:r>
    </w:p>
    <w:p>
      <w:r>
        <w:rPr>
          <w:b/>
        </w:rPr>
        <w:t>E. 8</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la ricorrente non ha più esercitato alcuna attività lucrativa da anni, occorre esaminare la documentazione medica agli atti.</w:t>
      </w:r>
    </w:p>
    <w:p>
      <w:r>
        <w:rPr>
          <w:b/>
        </w:rPr>
        <w:t>E. 9</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10</w:t>
      </w:r>
    </w:p>
    <w:p>
      <w:r>
        <w:t>In concreto, dalla documentazione medica all'incarto e, in particolare, dai rapporti del dott. B._______, internista, medico dell'UAI-TI, del 9 gennaio 2009 (doc. 42), dei dottori C._______, psichiatra, e H._______, internista, medici dell'UAI-TI, dell'11 gennaio 2010 (doc. 61), e del dott. F._______, neurologo, del 16 dicembre 2011 (doc. 94/1 a 11), nonché dalla perizia dei dottori D._______, reumatologo, e E._______, psichiatra, medici del ..., del 5 marzo 2012 (doc. 96/1 a 23), e dal rapporto finale del dott. G._______, internista, medico dell'UAI-TI, dell'8 marzo 2012 (doc. 97), emerge la diagnosi, influente sulla capacità lavorativa, di esiti da acromeoplastica, borsectomia e riparazione della cuffia rotatoria (2006), di rachialgie su discopatie scalate ed esiti da intervento per ernie discali C5/6 e L4/5 (luglio 2006 e giugno 2007), come pure la diagnosi, senza un tale influsso, di litiasi renale anamnestica, d'obesità di tipo I, d'ipertensione arteriosa, di lieve sindrome del tunnel carpale a destra e di sindrome somatoforme da dolore persistente (2007). Questa diagnosi è univoca agli atti e, peraltro, non è contestata dalla ricorrente, dimodoché questo Tribunale può aderirvi senza riserve.</w:t>
      </w:r>
    </w:p>
    <w:p>
      <w:r>
        <w:rPr>
          <w:b/>
        </w:rPr>
        <w:t>E. 11.1</w:t>
      </w:r>
    </w:p>
    <w:p>
      <w:r>
        <w:t>Rispetto alle conseguenze delle affezioni diagnosticate, il dott. B._______ aveva formulato, nel suo rapporto del 9 gennaio 2009, una capacità lavorativa del 100% in attività adeguate, implicanti il sollevamento di pesi, dal piano orizzontale, al massimo fino a 5 kg abitualmente e a 8 kg saltuariamente, e, da terra, fino a 5 kg saltuariamente, che non richiedano movimenti ripetitivi di flessione, estensione e rotazione del collo e della schiena, la posizione statica del braccio sinistro sopra il piano orizzontale, l'utilizzo di utensili vibranti, la deambulazione su terreni sconnessi e le situazioni d'instabilità. Parimenti, i dottori C._______ e H._______ non hanno fissato, nel loro rapporto dell'11 gennaio 2010, alcuna incapacità lavorativa dal punto di vista psichiatrico, e ciò in assenza di qualsiasi patologia di questo tipo.</w:t>
      </w:r>
    </w:p>
    <w:p>
      <w:r>
        <w:rPr>
          <w:b/>
        </w:rPr>
        <w:t>E. 11.2</w:t>
      </w:r>
    </w:p>
    <w:p>
      <w:r>
        <w:t>I dottori D._______ e E._______ del ... hanno stabilito, nella loro perizia del 5 marzo 2012, una piena capacità lavorativa sia per l'ultima attività esercitata, però con una riduzione del rendimento del 20%, sia per occupazioni confacenti, non implicanti l'esecuzione di lavori sopra l'orizzontale, il trasporto di pesi superiori a 10 kg oppure 5 kg in modo ripetuto, la flessione, l'estensione e la rotazione del tronco, con la possibilità di alternare la postura se necessario. I periti hanno precisato che gli interventi d'acromeoplastica, di borsectomia e di riparazione della cuffia rotatoria sinistra nel marzo 2006, come pure le discectomie C5/6 nel luglio 2006 e L4/5 nel giugno 2007, hanno giustificato ognuno un'incapacità lavorativa totale di tre mesi circa e quindi del 20%, ma non in modo prolungato (perizia, pagg. 20 e 21). Dal punto di vista somatico, gli specialisti hanno puntualizzato che le lesioni organiche spiegano solo parzialmente l'importante sintomatologia dolorosa, e che l'assenza di miglioramento dei sintomi dolorosi in seguito alle diverse terapie, compresi gli interventi chirurgici, le ripercussioni funzionali allegate e le incoerenze tra gli elementi anamnestici e l'osservazione oggettiva, fanno pensare ad una componente non organica importante (perizia, pag. 18). Sul piano neurologico, i periti non hanno constatato alcun disturbo che possa spiegare l'importante sintomatologia dolorosa (perizia, pag. 18). Dal lato psichiatrico, gli specialisti hanno evidenziato che la ricorrente menziona una sintomatologia ansiosa e depressiva, la quale contrasta però con i risultati di un esame psichiatrico nella norma, senza segni depressivi o ansiosi, eccetto un tono dell'umore lievemente depresso, e che se esistono dei criteri anamnestici per ritenere un disturbo depressivo prolungato, esso risulta d'intensità piuttosto leggera e riferibile solo parzialmente ad un sostrato organico, ciò che permette di formulare la diagnosi di sindrome dolorosa somatoforme persistente, non accompagnata tuttavia da una comorbidità psichiatrica grave, senza cristallizzazione dello stato psichico né perdita di vita sociale (perizia, pag. 19).</w:t>
      </w:r>
    </w:p>
    <w:p>
      <w:r>
        <w:rPr>
          <w:b/>
        </w:rPr>
        <w:t>E. 11.3</w:t>
      </w:r>
    </w:p>
    <w:p>
      <w:r>
        <w:t>Dal canto suo, il dott. G._______ ha ripreso, nel suo rapporto finale dell'8 marzo 2012, le conclusioni del ..., fissando, a decorrere da ottobre 2007, ossia dopo tre mesi dall'intervento di discectomia L4/5, un'incapacità lavorativa del 20% per l'attività abituale e dello 0% per occupazioni adeguate.</w:t>
      </w:r>
    </w:p>
    <w:p>
      <w:r>
        <w:rPr>
          <w:b/>
        </w:rPr>
        <w:t>E. 11.4</w:t>
      </w:r>
    </w:p>
    <w:p>
      <w:r>
        <w:t>Visto quanto precede, questo Tribunale constata che le delucidazioni mediche eseguite conformemente alla sentenza dell'11 marzo 2011, ossia la perizia del ..., con i rapporti dei dottori D._______, E._______ e F._______, e il rapporto finale del dott. G._______, hanno confermato le conclusioni precedenti dei dottori B._______, C._______ e H._______, ossia che la ricorrente dispone di un'incapacità lavorativa del 100% per l'attività di operaia dal 9 marzo 2006, e di una capacità lavorativa del 100% in attività adeguate da settembre 2007, la quale riflette il miglioramento dello stato di salute manifestatosi dopo l'intervento di discectomia L4/5, eseguito nel giugno 2007, ed il relativo periodo di convalescenza. Occorre a ciò aggiungere che la perizia del ... non risulta essere lacunosa e rispetta le esigenza formulate dalla giurisprudenza (cfr. consid. 9).</w:t>
      </w:r>
    </w:p>
    <w:p>
      <w:r>
        <w:rPr>
          <w:b/>
        </w:rPr>
        <w:t>E. 12.1</w:t>
      </w:r>
    </w:p>
    <w:p>
      <w:r>
        <w:t>Secondo la giurisprudenza costante del Tribunale federale ed un principio generale del diritto delle assicurazioni sociali, ogni ricorrente ha l'obbligo di ridurre il danno conseguente alla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Questa giurisprudenza conferma il principio che l'integrazione ha priorità sulla rendita, la cui assegnazione entra in linea di conto solo qualora non siano attuabili provvedimenti di integrazione. Un miglioramento della capacità di lavoro medicalmente attestato permette quindi di principio di ritenere che, nonostante la rendita sia stata concessa per un lungo periodo, la capacità di guadagno sia migliorata e di procedere ad un nuovo paragone dei redditi. L'esame delle condizioni per un eventuale diritto a misure d'integrazione si effettua secondo gli stessi principi sia nell'ambito di una revisione della rendita, sia nell'ambito di una domanda di rendita d'invalidità. Se la rendita è stata attribuita per un lungo periodo, la giurisprudenza considera tuttavia che non è opportuno sopprimerla o ridurla, malgrado l'esistenza di una capacità lavorativa medicalmente documentata, prima che le possibilità teoriche di lavoro non siano state confermate con l'aiuto di misure mediche d'integrazione e/o di provvedimenti d'integrazione professionale (in particolare, sentenza del Tribunale federale 9C_163/2009 del 10 settembre 2010). Il Tribunale federale ha tuttavia ristretto l'applicazione di questa prassi ai casi in cui un assicurato ha beneficiato di una rendita per più di 15 anni o ha superato i 55 anni: l'amministrazione che intende procedere ad una revisione del diritto alla rendita deve esaminare preliminarmente l'opportunità di provvedimenti d'integrazione professionale (sentenza del Tribunale federale 9C_228/2010 del 26 aprile 2011).</w:t>
      </w:r>
    </w:p>
    <w:p>
      <w:r>
        <w:rPr>
          <w:b/>
        </w:rPr>
        <w:t>E. 12.2</w:t>
      </w:r>
    </w:p>
    <w:p>
      <w:r>
        <w:t>In concreto, la ricorrente ha percepito la rendita intera d'invalidità per cinque anni e, al momento della soppressione nel 2010, aveva superato i cinquantacinque anni. Occorre pertanto esaminare se abbia diritto o meno a dei provvedimenti di integrazione. Ora, viste le occupazioni sostitutive proposte dai medici dell'UAI-TI, relative ad attività semplici e ripetitive, è senz'altro lecito concludere che la ricorrente non ha bisogno di alcuna misura di integrazione particolare al fine di mettere in valore la sua capacità lavorativa residua.</w:t>
      </w:r>
    </w:p>
    <w:p>
      <w:r>
        <w:rPr>
          <w:b/>
        </w:rPr>
        <w:t>E. 13.1</w:t>
      </w:r>
    </w:p>
    <w:p>
      <w:r>
        <w:t>Come già precisato al consid. 8, per valutare il grado d'invalidità, il reddito che l'assicurato potrebbe conseguire esercitando l'attività da lui ragionevolmente esigibile dopo la cura medica e l'eventuale esecuzione di provvedimenti d'integrazione, tenuto conto di una situazione equilibrata del mercato del lavoro, è confrontato con il reddito che egli avrebbe potuto ottenere se non fosse diventato invalido.</w:t>
      </w:r>
    </w:p>
    <w:p>
      <w:r>
        <w:rPr>
          <w:b/>
        </w:rPr>
        <w:t>E. 13.2</w:t>
      </w:r>
    </w:p>
    <w:p>
      <w:r>
        <w:t>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13.3</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13.4</w:t>
      </w:r>
    </w:p>
    <w:p>
      <w:r>
        <w:t>In concreto, l'UAI-TI ha proceduto in applicazione del metodo del confronto dei redditi. Dal rapporto finale della consulente in integrazione professionale, del 13 gennaio 2009 (doc. 45), si evince che, nel 2007, la ricorrente avrebbe potuto guadagnare, previa indicizzazione dei dati forniti dal datore di lavoro per il 2006, un salario da valida di Fr. 36'982.- e, secondo i dati dell'Ufficio federale di statistica (UFS) nel 2005 relativi ad attività leggere e non qualificate (tabelle RSS), un salario da invalida di Fr. 51'082.-, ridotto del 15% per tenere conto delle circostanze personali dell'assicurato e del 26.6% in virtù del parallelismo dei redditi, ossia Fr. 31'873.-, per cui si ottiene una perdita di guadagno del 13.81%, corrispondente ad una grado d'invalidità pari al 14% (DTF 130 V 121), il quale non consente il riconoscimento del diritto ad una rendita dell'assicurazione svizzera per l'invalidità. Questo calcolo è stato eseguito fondamentalmente in modo corretto, anche se, per scrupolo di precisione, tutti i dati avrebbero dovuto essere indicizzati al 2010 al momento della soppressione della rendita, mancanza questa che non influisce comunque sul risultato finale del grado d'invalidità.</w:t>
      </w:r>
    </w:p>
    <w:p>
      <w:r>
        <w:rPr>
          <w:b/>
        </w:rPr>
        <w:t>E. 14</w:t>
      </w:r>
    </w:p>
    <w:p>
      <w:r>
        <w:t>Di conseguenza, è a giusto titolo che l'UAIE ha soppresso la rendita intera d'invalidità a decorrere dal 1° aprile 2010, come già stabilito nella decisione, annullata, del 1° febbraio 2010.</w:t>
      </w:r>
    </w:p>
    <w:p>
      <w:r>
        <w:rPr>
          <w:b/>
        </w:rPr>
        <w:t>E. 15</w:t>
      </w:r>
    </w:p>
    <w:p>
      <w:r>
        <w:t>Secondo l'art. 63 cpv. 1 PA, le spese processuali sono di regola messe a carico della parte soccombente. In concreto, visto l'esito della procedura, le spese processuali di Fr. 400.- sono poste a carico della ricorrente e compensate con l'anticipo versato il 27 settembre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