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C-3013/2008 vom 14. Februar 2009</w:t>
      </w:r>
    </w:p>
    <w:p>
      <w:r>
        <w:t>Bundesverwaltungsgericht, 2009-02-14, DE</w:t>
      </w:r>
    </w:p>
    <w:p>
      <w:r>
        <w:rPr>
          <w:b/>
        </w:rPr>
        <w:t xml:space="preserve">Quelle: </w:t>
      </w:r>
      <w:r>
        <w:t>https://mcp.opencaselaw.ch/entscheid/bvger_C-3013_2008</w:t>
      </w:r>
    </w:p>
    <w:p>
      <w:r>
        <w:t>FR: TAF C-3013/2008 du 14 février 2009</w:t>
      </w:r>
    </w:p>
    <w:p>
      <w:r>
        <w:t>IT: TAF C-3013/2008 del 14 febbraio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die Einreise und die Visumserteilung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Visumserteilung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in Art. 5 Abs. 1 Bst. c SGK erwähnte Einreiseerfordernis der ausreichenden finanziellen Mittel wird in Absatz 3 präzisiert. Danach kann die Feststellung ausreichender finanzieller Mittel anhand von Bargeld, Reiseschecks und Kreditkarten erfolgen; ebenso können - sofern in den nationalen Rechtsvorschriften vorgesehen - Verpflichtungserklärungen und Bürgschaften von Gastgebern Nachweise für das Vorhandensein ausreichender Mittel zur Bestreitung des Lebensunterhalts darstellen. Das schweizerische Ausländerrecht sieht diese und andere Sicherheiten in Art. 2 Abs. 2 sowie in Art. 7-11 VEV vor. Unter Verweis auf die Rechtsgrundlage von Art. 5 SGK führt die GKI aus, welche Belege sich zum Nachweis der Mittel zur Bestreitung des Lebensunterhalts eignen (vgl. ABl. C 326, S. 11).</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philippinischer Staatsangehöriger unterliegt der Gesuchsteller damit der Visumspflicht.</w:t>
      </w:r>
    </w:p>
    <w:p>
      <w:r>
        <w:rPr>
          <w:b/>
        </w:rPr>
        <w:t>E. 8.1</w:t>
      </w:r>
    </w:p>
    <w:p>
      <w:r>
        <w:t>Auf den Philippinen sind fraglos breite Bevölkerungschichten von vergleichsweise kargen wirtschaftlichen und sozialen Lebensbedingungen betroffen. Immer wiederkehrende politische Turbulenzen und die hohe Staats- und Auslandverschuldung haben das Land in der Entwicklung und im Vergleich zu den Nachbarländern zurückgeworfen. In den letzten Jahren war das Land aber auf einen stabilen Wachstumspfad mit Wachstumsraten von durchschnittlich 6% eingeschwenkt. Leider ist es der philippinischen Regierung trotz des starken Wirtschaftswachstums nicht gelungen, die Armut im Land zu reduzieren. Nach Angaben der Weltbank ist sie im Gegenteil sogar von 30% im Jahr 2003 auf 33% im Jahr 2006 angestiegen, und dies gegen den Trend der Südostasien-Region, in der die Armut allgemein rückläufig ist. Auch die Arbeislosigkeit bleibt ein drängendes Problem. Die Arbeitslosenrate 2007 ist zwar weitgehend stabil geblieben (7.3% geschätzt). Zu den offiziellen Arbeitslosen kommen jedoch ca. 21% Unterbeschäftigte (Quelle: http://www.auswaertiges-amt.de, Stand: November 2008, besucht im Februar 2009). Entsprechend hoch ist der Anteil jener, die zeitweise oder auf Dauer ins Ausland emigrieren wollen, um dort unter günstigeren Lebensbedingungen eine bessere Existenz aufbauen zu können. So verlassen mittlerweile über 1 Mio. Menschen jährlich die Philippinen, um im Ausland Arbeit zu suchen (vgl. Auswärtiges Amt, a.a.O.). Dieser Trend zeigt sich erfahrungsgemäss dort besonders stark, wo durch Anwesenheit von Verwandten oder Bekannten bereits ein soziales Beziehungsnetz im Ausland besteht. Im Falle der Schweiz führt dies angesichts der restriktiven Zulassungsregelung nicht selten zur Umgehung ausländerrechtlicher Bestimmungen.</w:t>
      </w:r>
    </w:p>
    <w:p>
      <w:r>
        <w:rPr>
          <w:b/>
        </w:rPr>
        <w:t>E. 8.2</w:t>
      </w:r>
    </w:p>
    <w:p>
      <w:r>
        <w:t>Die persönlichen Verhältnisse eines Gesuchstellers bzw. einer Gesuchstellerin sind insofern von Bedeutung, als sie Rückschlüsse darüber zulassen, ob in der angestammten Umgebung besondere Verwurzelungen bzw. soziale oder berufliche Verpflichtungen vorhanden sind, die vernüftigerweise dazu führen dürften, dass keine über den deklarierten Aufenthaltszweck hinausgehenden Absichten bestehen (oder während des Besuchsaufenthalts entwickelt werden könnten) und die Pflicht zur Wiederausreise respektiert wird.</w:t>
      </w:r>
    </w:p>
    <w:p>
      <w:r>
        <w:rPr>
          <w:b/>
        </w:rPr>
        <w:t>E. 8.3</w:t>
      </w:r>
    </w:p>
    <w:p>
      <w:r>
        <w:t>Beim Gesuchsteller handelt es sich um einen 28-jährigen, unverheirateten Mann. Über seine persönlichen Verhältnisse ist bekannt, dass er eine Lebenspartnerin hat, seit dem 13. März 2008 Vater eines Sohnes ist und für den Lebensunterhalt seiner Familie aufkommt. Hinzuweisen ist diesbezüglich auch auf die vom Beschwerdeführer eingereichte Geburtsurkunde vom 25. März 2008, in der als Beruf der Lebenspartnerin "housewife" angegeben wird. Da sie als Hausfrau und Mutter eines zehn Monate alten Kindes vermutlich keiner weiteren Erwerbstätigkeit nachgeht, ist es offensichtlich, dass sie auf finanzielle Unterstützung angewiesen ist. Diese Lebenskonstellation - verbunden mit der zu den Akten gereichten Vaterschaftsanerkennungsurkunde - lässt klar auf familiäre Verpflichtungen des Gesuchstellers schliessen. Dem Einwand der Vorinstanz, der Gesuchsteller überlasse seinen Sohn durch die mehrmonatige Abwesenheit sich selbst, ist vorerst zu entgegnen, dass dieser zu keiner Zeit einen mehrmonatigen Aufenthalt in der Schweiz plante. Gemäss Gesuch vom 20. Februar 2008 wurde lediglich ein Visum für einen Monat beantragt. Dass in der Verpflichtungserklärung vom 25. März 2008 drei Monate geltend gemacht wurden, ist mit dem Wunsch nach einer gewissen Flexibilität in der Reiseplanung zu erklären (vgl. Schreiben des Beschwerdeführers vom 25. März 2008). Weiter kann auch nicht die Rede davon sein, der Gesuchsteller überlasse sein Kind sich selber, lässt er doch seine Lebenspartnerin ebenfalls auf den Philippinen zurück, womit die Betreuung und Pflege durch die Mutter des Kindes sichergestellt ist.</w:t>
      </w:r>
    </w:p>
    <w:p>
      <w:r>
        <w:rPr>
          <w:b/>
        </w:rPr>
        <w:t>E. 8.4</w:t>
      </w:r>
    </w:p>
    <w:p>
      <w:r>
        <w:t>Der Beschwerdeführer macht des Weiteren berufliche Bindungen geltend: Der Gesuchsteller besitze ein kleines Transportunternehmen, welches hauptsächlich Fischtransporte durchführe. Aufgrund der Akten kann davon ausgegangen werden, dass der Gesuchsteller dieses Unternehmen sehr erfolgreich führt: Den zusammen mit dem Einreisegesuch eingereichten Unterlagen kann entnommen werden, dass sein Bankkonto bei der Porac Bank am 8. Oktober 2007 einen Aktivsaldo von PHP 230'000 (vgl. Kontoauszug Porac Bank) und sein Bankonto bei der Eastwestbank einen Aktivsaldo von PHP 230'564.14 (vgl. Kontoauszug Eastwest Bank) aufwiesen. Dies entspricht einem Gesamtvermögen von ungefähr Fr. 11'500.-. Die vom Beschwerdeführer mit Beschwerde zusätzlich eingereichten Unterlagen bestätigen diese Annahme. Wie diverse Fotos belegen, befinden sich die für den Transport eingesetzten Lastwagen (vgl. Fahrzeugzulassungen vom 13. Oktober 2004 und 16. August 2006) in einem guten Zustand. Darüber hinaus soll der Gesuchsteller noch Angestellte beschäftigen. Er verfügt damit über eine massgebliche berufliche Verankerung in seinem Heimatland, wofür auch die eher massvolle Dauer des geplanten Besuchsaufenthalts von einem Monat - und nicht, wie von der Vorinstanz fälschlicherweise behauptet, mehreren Monaten - spricht.</w:t>
      </w:r>
    </w:p>
    <w:p>
      <w:r>
        <w:rPr>
          <w:b/>
        </w:rPr>
        <w:t>E. 8.5</w:t>
      </w:r>
    </w:p>
    <w:p>
      <w:r>
        <w:t>Auch wenn ein gewisses Risiko für ein missbräuchliches Verhalten nicht gänzlich ausgeschlossen werden kann, ergibt sich zusammenfassend, dass die persönlichen und wirtschaftlichen Verhältnisse des Gesuchstellers hinreichend Gewähr für eine fristgerechte Wiederausreise bieten. An diesem Ergebnis vermag der Verweis der Vorinstanz auf die Auslandvertretung, die das Einreisebegehren ebenfalls abgelehnt hat, nichts zu ändern. Denn Einerseits ist nicht ersichtlich, ob die Auslandvertretung bei ihrem formlosen Entscheid sämtliche Beurteilungsgrundlagen berücksichtigte. Andererseits war sie auch nicht in Kenntnis der Vorbringen im Beschwerdeverfahren.</w:t>
      </w:r>
    </w:p>
    <w:p>
      <w:r>
        <w:rPr>
          <w:b/>
        </w:rPr>
        <w:t>E. 9</w:t>
      </w:r>
    </w:p>
    <w:p>
      <w:r>
        <w:t>Aufgrund vorgängiger Erwägungen bieten die persönlichen und wirtschaftlichen Verhältnisse des Gesuchstellers durchaus hinreichende Gewähr für eine gesicherte Wiederausreise. Demzufolge ist festzustellen, dass die angefochtene Verfügung den rechtserheblichen Sachverhalt unrichtig resp. unvollständig festhält und in fehlerhafter Ausübung des Ermessens ergangen ist (Art. 49 Bst. a und b VwVG). Die Beschwerde ist daher gutzuheissen, die angefochtene Verfügung aufzuheben und die Sache zur neuerlichen Beurteilung an die Vorinstanz zurückzuweisen. Dabei ist von der Vorinstanz abzuklären, ob die in Art. 2 Abs. 1 VEV genannten Einreisevoraussetzungen gemäss Schengener Grenzkodex erfüllt sind oder allenfalls gemäss Art. 2 Abs. 4 VEV aus humanitären Gründen ein Visum mit räumlich beschränkter Gültigkeit zu erteilen ist.</w:t>
      </w:r>
    </w:p>
    <w:p>
      <w:r>
        <w:rPr>
          <w:b/>
        </w:rPr>
        <w:t>E. 10</w:t>
      </w:r>
    </w:p>
    <w:p>
      <w:r>
        <w:t>Bei diesem Ausgang des Verfahrens sind weder dem Beschwerdeführer noch der Vorinstanz Kosten aufzuerlegen (Art. 63 Abs. 1 und 2 VwVG) und der geleistete Kostenvorschuss ist zurückzuerstatten. Eine Parteientschädigung ist nicht zuzusprechen, da dem nicht anwaltlich vertretenen Beschwerdeführer keine notwendigen und verhältnismässig hohen Kosten erwachsen sind (Art. 64 Abs. 1 VwVG i.V.m. Art. 7 Abs. 4 und Art. 8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