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C-3011/2007 vom 12. Dezember 2007</w:t>
      </w:r>
    </w:p>
    <w:p>
      <w:r>
        <w:t>Bundesverwaltungsgericht, 2007-12-12, FR</w:t>
      </w:r>
    </w:p>
    <w:p>
      <w:r>
        <w:rPr>
          <w:b/>
        </w:rPr>
        <w:t xml:space="preserve">Quelle: </w:t>
      </w:r>
      <w:r>
        <w:t>https://mcp.opencaselaw.ch/entscheid/bvger_C-3011_2007</w:t>
      </w:r>
    </w:p>
    <w:p>
      <w:r>
        <w:t>FR: TAF C-3011/2007 du 12 décembre 2007</w:t>
      </w:r>
    </w:p>
    <w:p>
      <w:r>
        <w:t>IT: TAF C-3011/2007 del 12 dicembre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de réexamen rendues par l'ODM en matière d'exception aux mesures de limitation peuvent être contestées devant le Tribunal administratif fédéral, conformément à l'art. 20 al. 1 LSEE. En l'occurrence, le recours devant le Tribunal fédéral n'est pas recevable en raison de la matière (cf. art. 83 let. c ch. 5 de la loi fédérale du 17 juin 2005 sur le Tribunal fédéral [LTF, RS 173.110]), de sorte que le Tribunal administratif fédéral statue en dernière instance (cf. art. 1 al. 2 LTAF). A moins que la LTAF n'en dispose autrement, la procédure devant le Tribunal administratif fédéral est régie par la PA (cf. art 37 LTAF). A._______, qui est directement touchée par la décision entreprise, a qualité pour recourir (cf. art. 48 PA). Son recours, présenté dans la forme et les délais prescrits par la loi, est recevable (cf. art. 50 et 52 PA).</w:t>
      </w:r>
    </w:p>
    <w:p>
      <w:r>
        <w:rPr>
          <w:b/>
        </w:rPr>
        <w:t>E. 2</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et de l'art. 8 et de l'art. 29 al. 2 de la Constitution fédérale de la Confédération suisse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 La procédure extraordinaire (de révision ou de réexamen) ne saurait toutefois servir de prétexte pour remettre continuellement en question des décisions entrées en force (ATF 127 I précité ; 120 Ib 42 consid. 2b, p. 47), ni surtout à éluder les dispositions légales sur les délais de recours (cf. ATF 120 Ib et 109 Ib précités, ibid.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Grisel, op. cit., vol. II, p. 944; Kölz/ Häner, op. cit., p. 156ss; Knapp, op. cit., p. 276; Fritz Gygi, Bundesverwaltungsrechtspflege, Berne 1983, p.262s.; Jean-François Poudret, Commentaire de la loi fédérale d'organisation judiciaire, vol. V, Berne 1992, p. 18, 27ss et 32ss).</w:t>
      </w:r>
    </w:p>
    <w:p>
      <w:r>
        <w:rPr>
          <w:b/>
        </w:rPr>
        <w:t>E. 3</w:t>
      </w:r>
    </w:p>
    <w:p>
      <w:r>
        <w:t>Lorsque l'autorité de première instance n'est pas entrée en matière sur une demande de réexamen, le requérant peut simplement recourir en alléguant que l'autorité a nié à tort l'existence des conditions requises pour l'obliger à statuer au fond, et le Tribunal de céans ne peut qu'inviter cette dernière à examiner la demande au fond, si elle admet le recours (cf. ATF 109 Ib 246 consid. 4a p. 251 ; JAAC 45.68 ; Grisel, op. cit., vol. II, p. 949s. ; Kölz/Häner, op. cit., p. 164). Les conclusions du recourant (soit "l'objet du litige" ou "Streitgegenstand") sont donc limitées par les questions tranchées dans le dispositif de la décision querellée (soit "l'objet de la contestation" ou "Anfechtungsgegen-stand") et celles qui en sortent, en particulier les questions portant sur le fond de l'affaire, ne sont pas recevables (cf. ATF 131 II 200 consid. 3.2, 130 V 138 consid. 2.1, 125 V 413 consid. 1 p. 413s., et jurisp. cit. ; Kölz/ Häner, op. cit., p. 148ss ; Gygi, op. cit., p. 44ss ; Poudret, op. cit., p. 8s., n. 2.2 ; Pierre Moor, Droit administratif, vol. II : Les actes administratifs et leur contrôle, Berne 1991, p. 438, 444 et 446s.).</w:t>
      </w:r>
    </w:p>
    <w:p>
      <w:r>
        <w:rPr>
          <w:b/>
        </w:rPr>
        <w:t>E. 4.1</w:t>
      </w:r>
    </w:p>
    <w:p>
      <w:r>
        <w:t>En l'espèce, il convient de relever que, dans sa décision du 7 juillet 2004, l'autorité intimée a considéré notamment que le recourant ne pouvait se prévaloir ni d'un comportement irréprochable, ni d'un séjour régulier en Suisse, que la durée de ce séjour devait de toute façon être relativisée compte tenu des années qu'il avait vécues en Serbie et des attaches étroites qu'il y avait maintenues, et que son intégration sociale et professionnelle n'était pas marquée au point de devoir admettre sa requête sous cet angle. Il est encore à noter que cette décision a été confirmée sur recours tant par décision du DFJP du 14 décembre 2005 que par arrêt du Tribunal fédéral du 18 janvier 2006.</w:t>
      </w:r>
    </w:p>
    <w:p>
      <w:r>
        <w:rPr>
          <w:b/>
        </w:rPr>
        <w:t>E. 4.2</w:t>
      </w:r>
    </w:p>
    <w:p>
      <w:r>
        <w:t>A l'appui de sa requête du 1er décembre 2006, tendant au réexamen de la décision de l'ODM du 7 juillet 2004 et dans son recours formé le 30 avril 2007 contre la décision de l'ODM du 16 mars 2007, l'intéressé a fait valoir en substance que l'autorité fédérale de première instance avait à tort relativisé la durée de son séjour en Suisse, qu'il avait bel et bien fourni aux autorités helvétiques tous les documents susceptibles de démontrer la continuité de ce séjour, qu'il résidait et travaillait ainsi en Suisse depuis 1990 (soit dix-sept ans), qu'il était parfaitement intégré en ce pays sur le plan socio-professionnel et que quatre de ses frères et soeurs auxquels il était très attaché vivaient en Suisse au bénéfice d'une autorisation d'établissement. Il a également souligné que son comportement, si l'on exceptait les infractions à la LSEE, avait toujours été irréprochable. Enfin, il a indiqué que les Albanais du Kosovo faisaient l'objet de discrimination dans leur pays et que l'ODM ayant régularisé la situation de différents clandestins résidant dans le canton de Vaud, il était contraire au principe de l'égalité de traitement de ne pas régulariser sa situation.</w:t>
      </w:r>
    </w:p>
    <w:p>
      <w:r>
        <w:rPr>
          <w:b/>
        </w:rPr>
        <w:t>E. 4.3</w:t>
      </w:r>
    </w:p>
    <w:p>
      <w:r>
        <w:t>Le Tribunal constate cependant que les éléments sur lesquels l'intéressé a fondé sa requête ne sont d'aucune manière constitutifs de faits nouveaux importants susceptibles de justifier le réexamen de la décision du 7 juillet 2004. Il sied de rappeler en préambule que les autorités compétentes (Office fédéral, DFJP, Tribunal fédéral) se sont déjà prononcées de manière circonstanciée sur la situation du recourant et qu'elles ont considéré, en particulier, que la durée de son séjour en Suisse, son intégration dans ce pays et ses origines ethniques ne permettaient pas de conclure qu'il se trouvait dans une situation d'extrême gravité au sens de l'art. 13 let. f OLE. S'agissant des pièces versées à l'appui de la demande de réexamen et censées démontrer la continuité du séjour en Suisse de l'intéressé (en particulier l'attestation de la brasserie B._______ du 27 avril 2007), elles n'apportent rien de neuf par rapport à ce qui était déjà connu lors de la procédure ordinaire (cf. décision du DFJP du 14 décembre 2005 consid. 16, arrêt du Tribunal fédéral du 18 janvier 2006 consid. 4.3). Une telle attestation aurait au demeurant pu être produite dans le cours de la procédure ordinaire. Dans ce sens, cet élément n'est aucunement constitutif d'un fait nouveau au sens de la doctrine et de la jurisprudence précitées. Il convient au surplus de relever qu'entre la confirmation en dernière instance de la première décision de l'Office fédéral par le Tribunal fédéral le 18 janvier 2006 et la deuxième décision rendue par l'ODM le 16 mars 2007, l'intéressé n'a fait que passer une année et deux mois supplémentaires en Suisse. A supposer que la poursuite de son séjour dans ce pays durant ce laps de temps ait pu quelque peu consolider ses attaches sociales et professionnelles avec celui-ci, le simple écoulement du temps et une évolution normale de son intégration ne constituent de toute façon pas, à proprement parler, des faits nouveaux qui auraient entraîné une modification substantielle de sa situation personelle (cf. arrêt du Tribunal fédéral 2A. 180/2000 du 14 août 2000 consid. 4c). A ce propos, la jurisprudence citée précédemment au considérant 2 souligne que le réexamen d'une décision ne peut avoir pour résultat d'obtenir une nouvelle appréciation de faits connus lors de ladite décision.</w:t>
      </w:r>
    </w:p>
    <w:p>
      <w:r>
        <w:rPr>
          <w:b/>
        </w:rPr>
        <w:t>E. 4.4</w:t>
      </w:r>
    </w:p>
    <w:p>
      <w:r>
        <w:t>Enfin, l'intéressé a également indiqué qu'il était victime d'une inégalité de traitement par rapport à d'autres ressortissant étrangers en situation irrégulière qui auraient obtenu la régularisation de leurs conditions de séjour par l'ODM. A._______ n'a toutefois pas indiqué pour quel motif il n'avait pas invoqué plus tôt cet élément. Il ressort en effet du dossier que l'intéressé aurait pu faire valoir cet argument dans le cadre de la procédure de recours au DFJP dirigée contre la décision de l'ODM du 7 juillet 2004 refusant de l'exempter des mesures de limitation et devant le Tribunal fédéral. C'est ainsi à juste titre que l'ODM a considéré qu'il n'y avait pas là motif à entrer en matière sur sa demande de réexamen (cf. arrêt du Tribunal fédéral 2A. 416/2003 du 12 mars 2004 consid. 3.3). En tout état de cause, un tel argument n'est pas de nature à justifier sur le fond une appréciation différente de la cause (cf. ATAF 2007/16 consid. 6.4 et jurisprudence citée).</w:t>
      </w:r>
    </w:p>
    <w:p>
      <w:r>
        <w:rPr>
          <w:b/>
        </w:rPr>
        <w:t>E. 5</w:t>
      </w:r>
    </w:p>
    <w:p>
      <w:r>
        <w:t>Dès lors, force est de constater que le recourant n'avance aucun fait ou moyen de preuve nouveau important, ni changement de circonstances depuis le prononcé de la décision du 7 juillet 2004, confirmée sur recours tant par le DFJP le 14 décembre 2005 que par le Tribunal fédéral le 18 janvier 2006. Par conséquent, c'est à bon droit que l'autorité inférieure n'est pas entrée en matière sur la demande de réexamen de l'intéressé.</w:t>
      </w:r>
    </w:p>
    <w:p>
      <w:r>
        <w:rPr>
          <w:b/>
        </w:rPr>
        <w:t>E. 6</w:t>
      </w:r>
    </w:p>
    <w:p>
      <w:r>
        <w:t>Compte tenu des considérants exposés ci-dessus, il appert que, par sa décision du 16 mars 2007, l'Office fédéral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du recourant, conformément à l'art.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