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C-300/2009 vom 16. Februar 2009</w:t>
      </w:r>
    </w:p>
    <w:p>
      <w:r>
        <w:t>Bundesverwaltungsgericht, 2009-02-16, DE</w:t>
      </w:r>
    </w:p>
    <w:p>
      <w:r>
        <w:rPr>
          <w:b/>
        </w:rPr>
        <w:t xml:space="preserve">Quelle: </w:t>
      </w:r>
      <w:r>
        <w:t>https://mcp.opencaselaw.ch/entscheid/bvger_C-300_2009</w:t>
      </w:r>
    </w:p>
    <w:p>
      <w:r>
        <w:t>FR: TAF C-300/2009 du 16 février 2009</w:t>
      </w:r>
    </w:p>
    <w:p>
      <w:r>
        <w:t>IT: TAF C-300/2009 del 16 febbraio 2009</w:t>
      </w:r>
    </w:p>
    <w:p>
      <w:pPr>
        <w:pStyle w:val="Heading2"/>
      </w:pPr>
      <w:r>
        <w:t>Regeste</w:t>
      </w:r>
    </w:p>
    <w:p>
      <w:r>
        <w:t>Invalidenversicherung (Übriges)</w:t>
      </w:r>
    </w:p>
    <w:p>
      <w:pPr>
        <w:pStyle w:val="Heading2"/>
      </w:pPr>
      <w:r>
        <w:t>Erwägungen</w:t>
      </w:r>
    </w:p>
    <w:p>
      <w:r>
        <w:rPr>
          <w:b/>
        </w:rPr>
        <w:t>E. 1</w:t>
      </w:r>
    </w:p>
    <w:p>
      <w:r>
        <w:t>Das Bundesverwaltungsgericht ist zuständig für die Behandlung von Fristwiederherstellungsgesuchen nach Art. 24 Abs. 1 VwVG betreffend Fristen, bei denen es im Falle der Wiederherstellung über die nachgeholte Parteihandlung beziehungsweise Rechtsvorkehr zu befinden hat (vgl. URSINA BEERLI-BONORAND, Die ausserordentlichen Rechtsmittel in der Verwaltungsrechtspflege des Bundes und der Kantone, Zürich 1985, S. 233). Da das Bundesverwaltungsgericht über Beschwerden gegen Verfügungen der IV-Stelle gemäss Art. 31 des Verwaltungsgerichtsgesetzes vom 17. Juni 2005 (VGG, SR 173.32) in Verbindung mit Art. 69 Abs. 1 Bst. b des Bundesgesetzes vom 19. Juni 1959 über die Invalidenversicherung (IVG, SR 831.20) zu befinden hat, ist es somit auch zuständig für die Behandlung des vorliegenden Fristwiederherstellungsgesuchs.</w:t>
      </w:r>
    </w:p>
    <w:p>
      <w:r>
        <w:rPr>
          <w:b/>
        </w:rPr>
        <w:t>E. 2</w:t>
      </w:r>
    </w:p>
    <w:p>
      <w:r>
        <w:t>Nach Art. 24 Abs. 1 VwVG kann eine Frist wiederhergestellt werden, wenn jemand unverschuldeterweise davon abgehalten wurde, fristgemäss zu handeln. Wer eine Frist wiederhergestellt haben möchte, muss unter Angabe des Grundes innert 30 Tagen nach Wegfall des Hindernisses darum ersuchen; desgleichen muss die versäumte Rechtshandlung nachgeholt werden.</w:t>
      </w:r>
    </w:p>
    <w:p>
      <w:r>
        <w:rPr>
          <w:b/>
        </w:rPr>
        <w:t>E. 2.1</w:t>
      </w:r>
    </w:p>
    <w:p>
      <w:r>
        <w:t>Eine Wiederherstellung ist sowohl bei behördlichen als auch bei gesetzlichen Fristen möglich. Die Praxis dazu ist jedoch sehr restriktiv, darf doch im Interesse der Rechtssicherheit und eines geordneten Verfahrens ein Hinderungsgrund nicht leichthin angenommen werden. Hat eine beigezogene Hilfsperson die Verspätung verschuldet, muss sich der Vertretene dies anrechnen lassen. Als erheblich sind nur solche Gründe zu betrachten, die der Partei auch bei Aufwendung der üblichen Sorgfalt die Wahrung ihrer Interessen verunmöglicht oder unzumutbar erschwert hätten (VPB 70.72 E. 3 mit Hinweisen). Als unverschuldete Hindernisse hat die Rechtsprechung etwa Naturkatastrophen, obligatorischen Militärdienst (BGE 104 IV 210 E. 3) oder plötzliche schwere Erkrankungen (BGE 119 II 87 E. 2a; BGE 112 V 255 E. 2a mit Hinweisen) anerkannt. Die Verhinderung muss derart unvorgesehen auftreten, dass es nicht mehr möglich ist, die Vornahme der geforderten Handlung durch eine Drittperson zu bewirken (VPB 70.72 E. 4). Nicht als Wiederherstellungsgründe anerkennt die Rechtsprechung inbesondere organisatorische Unzulänglichkeiten, Arbeitsüberlastung, Ferienabwesenheit (VPB 68.146 E. 3b) oder Unkenntnis der gesetzlichen Vorschriften (Urteil des Bundesverwaltungsgerichts A-1514/2006 vom 14. Februar 2004 E. 2.5 mit Hinweisen; vgl. zum Ganzen: ANDRÉ MOSER/MICHAEL BEUSCH/LORENZ KNEUBÜHLER, Prozessieren vor dem Bundesverwaltungsgericht, Basel 2008, Rz. 2.139 ff. mit Hinweisen, insbesondere Rz. 2.143; STEFAN VOGEL, Art. 24, in: Christoph Auer/Markus Müller, Benjamin Schindler, Kommentar zum Bundesgesetz über das Verwaltungsverfahren, Zürich u.a. 2008, Rz. 7 ff., insbesondere Rz. 10).</w:t>
      </w:r>
    </w:p>
    <w:p>
      <w:r>
        <w:rPr>
          <w:b/>
        </w:rPr>
        <w:t>E. 2.2</w:t>
      </w:r>
    </w:p>
    <w:p>
      <w:r>
        <w:t>Vorliegend bringt der Gesuchsteller sinngemäss vor, dass er zwar der Post den Überweisungsauftrag rechtzeitig erteilt habe, sich aber nicht bewusst gewesen sei, dass er auf dem Postkonto, von dem aus die Überweisung - da es sich bei der von ihm aufgesuchten Poststelle nicht um ein Hauptpostamt gehandelt habe - hätte vorgenommen werden sollen, keine genügende Deckung aufgewiesen habe. Aus diesem Grund habe die Post die Überweisung nicht vorgenommen. Diese habe ihn erst am 11. Dezember 2008 über seine Unterdeckung informiert. Unverzüglich habe er sodann die Überweisung über seine Hausbank veranlasst, und schliesslich am 2. Januar 2009 das Gesuch um Wiederherstellung eingereicht. Nach der oben dargestellten restriktiven Praxis beruht das Verpassen der Frist zur Zahlung des Kostenvorschusses vorliegend auf einer organisatorischen Unzulänglichkeit, die nicht als unverschuldet im Sinne von Art. 24 Abs. 1 VwVG gilt, zumal auch das Verhalten der Post als Hilfsperson dem Gesuchsteller anzurechnen ist.</w:t>
      </w:r>
    </w:p>
    <w:p>
      <w:r>
        <w:rPr>
          <w:b/>
        </w:rPr>
        <w:t>E. 2.3</w:t>
      </w:r>
    </w:p>
    <w:p>
      <w:r>
        <w:t>Damit wurde der Gesuchsteller nicht im Sinne der Rechtsprechung unverschuldet davon abgehalten, den Kostenvorschuss rechtzeitig zu überweisen. Die Frist für die Wiederherstellung des Kostenvorschusses kann deshalb nicht wiederhergestellt werden; das entsprechende Gesuch ist somit im einzelrichterlichen Verfahren nach Art. 23 Abs. 2 VGG in Verbindung mit Art. 85bis Abs. 3 des Bundesgesetzes vom 20. Dezember 1946 über die Alters- und Hinterlassenenversicherung (AHVG, SR 831.10) abzuweisen.</w:t>
      </w:r>
    </w:p>
    <w:p>
      <w:r>
        <w:rPr>
          <w:b/>
        </w:rPr>
        <w:t>E. 3</w:t>
      </w:r>
    </w:p>
    <w:p>
      <w:r>
        <w:t>Der Gesuchsteller wird darauf aufmerksam gemacht, dass er nach Art. 87 Abs. 4 der Verordnung vom 17. Januar 1961 über die Invalidenversicherung (IVV, SR 831.201) bei der IV-Stelle jederzeit ein neues Leistungsgesuch einreichen kann, auf welches diese einzutreten hat, sofern er glaubhaft machen kann, dass sich der Grad der Invalidität in einer für den Anspruch erheblichen Weise geändert hat (insbesondere: Verschlechterung des Gesundheitszustandes).</w:t>
      </w:r>
    </w:p>
    <w:p>
      <w:r>
        <w:rPr>
          <w:b/>
        </w:rPr>
        <w:t>E. 4</w:t>
      </w:r>
    </w:p>
    <w:p>
      <w:r>
        <w:t>Es sind keine Verfahrenskosten zu erheben und es ist keine Parteientschädigung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