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C-3001/2022 vom 12. März 2025</w:t>
      </w:r>
    </w:p>
    <w:p>
      <w:r>
        <w:t>Bundesverwaltungsgericht, 2025-03-12, DE</w:t>
      </w:r>
    </w:p>
    <w:p>
      <w:r>
        <w:rPr>
          <w:b/>
        </w:rPr>
        <w:t xml:space="preserve">Quelle: </w:t>
      </w:r>
      <w:r>
        <w:t>https://mcp.opencaselaw.ch/entscheid/bvger_C-3001_2022</w:t>
      </w:r>
    </w:p>
    <w:p>
      <w:r>
        <w:t>FR: TAF C-3001/2022 du 12 mars 2025</w:t>
      </w:r>
    </w:p>
    <w:p>
      <w:r>
        <w:t>IT: TAF C-3001/2022 del 12 marzo 2025</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des Bundesgesetzes vom 17. Juni 2005 über das Bun- desverwaltungsgericht (Verwaltungsgerichtsgesetz, VGG, SR 173.32) in Verbindung mit Art. 33 Bst. d VGG und Art. 69 Abs. 1 Bst. b des Bundes- gesetzes vom 19. Juni 1959 über die Invalidenversicherung (IVG, SR 831.20) ist das Bundesverwaltungsgericht zur Beurteilung der vorliegen- den Beschwerde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Gemäss Art. 3 Bst. dbis VwVG bleiben in sozialversicherungsrechtlichen Verfahren die besonderen Best- immungen des Bundesgesetzes vom 6. Oktober 2000 über den Allgemei- nen Teil des Sozialversicherungsrechts (ATSG, SR 830.1) vorbehalten. Gemäss Art. 2 ATSG sind die Bestimmungen dieses Gesetzes auf die bun- desgesetzlich geregelten Sozialversicherungen anwendbar, wenn und so- weit die einzelnen Sozialversicherungsgesetze es vorsehen. Nach Art. 1 IVG sind die Bestimmungen des ATSG auf die IV anwendbar (Art. 1a–26bis und Art. 28–70 IVG), soweit das IVG nicht ausdrücklich eine Abweichung vom ATSG vorsieht. Nach der Rechtsprechung sind neue Verfahrensvor- schriften mangels anders lautender Übergangsbestimmungen mit dem Tag des Inkrafttretens sofort und in vollem Umfang anwendbar (BGE 130 V 1 E. 3.2; 129 V 113 E. 2.2).</w:t>
      </w:r>
    </w:p>
    <w:p>
      <w:r>
        <w:rPr>
          <w:b/>
        </w:rPr>
        <w:t>E. 1.3</w:t>
      </w:r>
    </w:p>
    <w:p>
      <w:r>
        <w:t>Als direkter Adressat ist der Beschwerdeführer von der angefochtenen Verfügung berührt und er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(Art. 63 Abs. 4 VwVG; vgl. auch BVGer-act. 10), einzutreten.</w:t>
      </w:r>
    </w:p>
    <w:p>
      <w:r>
        <w:rPr>
          <w:b/>
        </w:rPr>
        <w:t>E. 2</w:t>
      </w:r>
    </w:p>
    <w:p>
      <w:r>
        <w:t>Anfechtungsobjekt und damit Begrenzung des Streitgegenstandes des</w:t>
      </w:r>
    </w:p>
    <w:p>
      <w:r>
        <w:t>C-3001/2022 Seite 6 vorliegenden Beschwerdeverfahrens (vgl. BGE 131 V 164 E. 2.1) bildet vorliegend die Verfügung vom 5. Mai 2022, mit welcher die Vorinstanz das Leistungsbegehren des Beschwerdeführers im Rahmen seiner Erstanmel- dung vom 7. April 2021 – aufgrund der mit Verfügung vom 9. April 2015 erfolgten Rückvergütung seiner zwischen 1993 und 1999 geleisteten Bei- träge – abgewiesen hat.</w:t>
      </w:r>
    </w:p>
    <w:p>
      <w:r>
        <w:rPr>
          <w:b/>
        </w:rPr>
        <w:t>E. 3</w:t>
      </w:r>
    </w:p>
    <w:p>
      <w:r>
        <w:t>Zum Beschwerdeverfahren ist Folgendes festzuhalten: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Sozialversicherungsprozess sind vom Untersuchungsgrundsatz be- herrscht (vgl. Art. 43 Abs. 1 ATSG; Art. 61 Bst. c ATSG; Art. 12 VwVG). Da- nach hat die Verwaltung und im Beschwerdeverfahren das Gericht von Am- tes wegen für die richtige und vollständige Abklärung des erheblichen Sachverhalts zu sorgen (vgl. BGE 136 V 376 E. 4.1.1). Dieser Grundsatz gilt indessen nicht unbeschränkt; er findet sein Korrelat in den Mitwirkungs- pflichten der Parteien (vgl. Art. 43 Abs. 3 ATSG; BGE 125 V 195 E. 2 und 122 V 158 E. 1a, je m.w.H.). Sofern das Gesetz nicht etwas Abweichendes vorsieht, gilt im Sozialversicherungsrecht der Beweisgrad der überwiegen- den Wahrscheinlichkeit (BGE 143 V 168 E. 2; 138 V 218 E. 6).</w:t>
      </w:r>
    </w:p>
    <w:p>
      <w:r>
        <w:rPr>
          <w:b/>
        </w:rPr>
        <w:t>E. 4</w:t>
      </w:r>
    </w:p>
    <w:p>
      <w:r>
        <w:t>Nachfolgend ist zunächst das anwendbare materielle Recht und der zeit- lich massgebende Sachverhalt zu bestimmen:</w:t>
      </w:r>
    </w:p>
    <w:p>
      <w:r>
        <w:rPr>
          <w:b/>
        </w:rPr>
        <w:t>E. 4.1</w:t>
      </w:r>
    </w:p>
    <w:p>
      <w:r>
        <w:t>Der Beschwerdeführer ist kosovarischer Staatsangehöriger und ist im Kosovo wohnhaft. Das Abkommen zwischen der Schweizerischen Eidge- nossenschaft und der (ehemaligen) Föderativen Volksrepublik Jugosla- wien über Sozialversicherung vom 8. Juni 1962 (SR 0.831.109.818.1;</w:t>
      </w:r>
    </w:p>
    <w:p>
      <w:r>
        <w:t>C-3001/2022 Seite 7 nachfolgend Abkommen Jugoslawien) ist seit dem 1. April 2010 nicht wei- ter auf kosovarische Staatsangehörige anwendbar (BGE 139 V 263). Dies hat namentlich zur Folge, dass IV-Renten von Staatsangehörigen des Ko- sovos, die für den Zeitraum nach dem 31. März 2010 zugesprochen wer- den, gemäss Art. 6 Abs. 2 Satz 2 IVG nicht mehr ins Ausland exportierbar sind. Sie werden nurmehr innerhalb der Schweiz gewährt. Die laufenden Renten geniessen demgegenüber gemäss Art. 25 des Abkommens Jugo- slawien den Besitzstand (BGE 139 V 335 E. 6.1).</w:t>
      </w:r>
    </w:p>
    <w:p>
      <w:r>
        <w:t>Seit dem 1. September 2019 sind das Abkommen vom 8. Juni 2018 zwi- schen der Schweizerischen Eidgenossenschaft und der Republik Kosovo über soziale Sicherheit (SR 0.831.109.475.1; nachfolgend Abkommen Ko- sovo) und die Verwaltungsvereinbarung vom 8. Juni 2018 zur Durchfüh- rung des Abkommens (SR 0.831.109.475.11) in Kraft. Gemäss Art. 35 Abs. 1 des Abkommens («Übergangsbestimmungen») begründet es keine Leistungsansprüche für den Zeitraum vor seinem Inkrafttreten. Soweit An- sprüche (einzig) kosovarischer Staatsangehöriger durch Abfindung oder Beitragsrückvergütung abgegolten worden sind, findet das Abkommen Ko- sovo in sachlicher Hinsicht keine Anwendung (vgl. Art. 35 Abs. 7 des Ab- kommens). Im Übrigen beurteilt sich der Anspruch einer versicherten Per- son auf eine Rente der schweizerischen Invalidenversicherung auch bei Geltung des Abkommens Kosovo allein aufgrund der schweizerischen Rechtsvorschriften.</w:t>
      </w:r>
    </w:p>
    <w:p>
      <w:r>
        <w:rPr>
          <w:b/>
        </w:rPr>
        <w:t>E. 4.2</w:t>
      </w:r>
    </w:p>
    <w:p>
      <w:r>
        <w:t>In zeitlicher Hinsicht sind grundsätzlich diejenigen materiellen Rechts- sätze massgeblich, die bei der Erfüllung des rechtlich zu ordnenden oder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Verordnung über die Invali- denversicherung (IVV, SR 831.201) vom 3. November 2021 (AS 2021 706) in Kraft getreten. Die hier angefochtene Verfügung erging zwar nach dem 1. Januar 2022, betrifft aufgrund der Erstanmeldung vom 7. April 2021 je- doch Leistungen mit allfälligem Anspruchsbeginn vor dem 31. Dezember 2021, konkret ab dem 1. Oktober 2021 (vgl. Art. 29 IVG). In dieser über- gangsrechtlichen Konstellation sind nicht die am 1. Januar 2022 in Kraft getretenen Änderungen, sondern die Bestimmungen des IVG und diejeni- gen der IVV in der bis zum 31. Dezember 2021 gültig gewesenen Fassung massgebend (vgl. zum Ganzen: Urteil des BGer 8C_385/2023 vom 30. No- vember 2023 E. 2 m.w.H.).</w:t>
      </w:r>
    </w:p>
    <w:p>
      <w:r>
        <w:t>C-3001/2022 Seite 8</w:t>
      </w:r>
    </w:p>
    <w:p>
      <w:r>
        <w:rPr>
          <w:b/>
        </w:rPr>
        <w:t>E. 4.3</w:t>
      </w:r>
    </w:p>
    <w:p>
      <w:r>
        <w:t>Das Sozialversicherungsgericht stellt bei der Beurteilung einer Streit- sache in der Regel auf den bis zum Zeitpunkt des Erlasses der streitigen Verwaltungsverfügung (hier: 5. Mai 2022) eingetretenen Sachverhalt ab (BGE 132 V 215 E. 3.1.1). Tatsachen, die jenen Sachverhalt seither verän- dert haben, sollen im Normalfall Gegenstand einer neuen Verwaltungsver- fügung sein (BGE 121 V 362 E. 1b).</w:t>
      </w:r>
    </w:p>
    <w:p>
      <w:r>
        <w:rPr>
          <w:b/>
        </w:rPr>
        <w:t>E. 5</w:t>
      </w:r>
    </w:p>
    <w:p>
      <w:r>
        <w:t>Nachfolgend ist zu prüfen, ob der Beschwerdeführer – wie von ihm geltend gemacht – Anspruch auf eine IV-Rente hat:</w:t>
      </w:r>
    </w:p>
    <w:p>
      <w:r>
        <w:rPr>
          <w:b/>
        </w:rPr>
        <w:t>E. 5.1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(vgl. Art. 36 Abs. 1 IVG). Diese Voraussetzungen müssen kumulativ gegeben sein; ist eine davon nicht erfüllt, so entsteht kein Rentenanspruch, selbst wenn die andere zu bejahen ist. Aus rückvergüteten Beiträgen und den entsprechenden Beitragszeiten können gegenüber der AHV und der IV keine Rechte abgeleitet werden. Die Wiedereinzahlung ist ausgeschlossen (Art. 18 Abs. 3 des Bundesgesetzes vom 20. Dezember 1946 über die Al- ters- und Hinterlassenenversicherung [AHVG, SR 831.10] i.V.m. Art. 6 der Verordnung über die Rückvergütung der von Ausländern an die Alters- und Hinterlassenenversicherung bezahlten Beitrage [RV-AHV, SR 831.131.12]; vgl. zum Ganzen auch Urteil des Bundesverwaltungsgerichts [BVGer] C-4803/2016 vom 20. März 2018 E. 4.1).</w:t>
      </w:r>
    </w:p>
    <w:p>
      <w:r>
        <w:rPr>
          <w:b/>
        </w:rPr>
        <w:t>E. 5.2</w:t>
      </w:r>
    </w:p>
    <w:p>
      <w:r>
        <w:t>Gemäss Auszügen aus dem individuellen Konto leistete der Beschwer- deführer in den Jahren 1993 bis 1999 Beiträge an die schweizerische AHV/IV (IVSTA-act. 17; 26).</w:t>
      </w:r>
    </w:p>
    <w:p>
      <w:r>
        <w:t>Mit Formular vom 15. Januar 2015 beantragte der Beschwerdeführer, ver- treten durch seinen Bruder, die Rückvergütung seiner geleisteten AHV-Bei- träge. Nicht ausgefüllt und unterzeichnet hatte der Beschwerdeführer be- ziehungsweise sein Bevollmächtigter zwar die Bestätigung, wonach davon Kenntnis genommen werde, dass nach der Rückvergütung keinerlei Rechte mehr gegenüber der schweizerischen Alters- und Hinterlassenen- versicherung und Invalidenversicherung mehr geltend gemacht werden könnten und auch die Wiedereinzahlung der rückvergüteten Beiträge aus- geschlossen sei (IVSTA-act. 10-16; insbesondere IVSTA-act. 16 S. 5). In</w:t>
      </w:r>
    </w:p>
    <w:p>
      <w:r>
        <w:t>C-3001/2022 Seite 9 der Folge verfügte die Vorinstanz – nach der Einholung einer Bestätigung des Beschwerdeführers betreffend die Vollständigkeit und Wahrheit der Tatsachen, dass er ausschliesslich die kosovarische Nationalität habe und keines seiner Kinder unter 25 Jahren Wohnsitz in der Schweiz habe (IV- STA-act. 20; 24) – dennoch am 9. April 2015 die Rückvergütung der tat- sächlich bezahlten Beiträge im Betrag von insgesamt Fr. 20'892.15. Dieser Verfügung ist (wiederum) der Hinweis zu entnehmen, dass aus rückvergü- teten Beiträgen und den entsprechenden Beitragszeiten gegenüber der Al- ters- und Hinterlassenenversicherung keinerlei Rechte mehr abgeleitet werden könnten und die Wiedereinzahlung der Beiträge ausgeschlossen sei (IVSTA-act. 27). Diese Verfügung erwuchs anschliessend unangefoch- ten in Rechtskraft, weshalb dem Beschwerdeführer der errechnete Betrag am 11. Mai 2015 ausbezahlt wurde (IVSTA-act. 28; vgl. zum Ganzen auch oben Bst. C).</w:t>
      </w:r>
    </w:p>
    <w:p>
      <w:r>
        <w:rPr>
          <w:b/>
        </w:rPr>
        <w:t>E. 5.3</w:t>
      </w:r>
    </w:p>
    <w:p>
      <w:r>
        <w:t>Aus dem Gesagten ergibt sich, dass dem Beschwerdeführer seine in den Jahren 1993 bis 1999 an die schweizerische AHV/IV geleisteten Bei- träge rückvergütet wurden. Damit sind allfällige Ansprüche gegenüber der AHV und der IV verwirkt (Art. 6 RV-AHV) und erfüllt er eine der beiden Grundvoraussetzungen zur Gewährung einer IV-Rente nicht (vgl. oben E. 5.1). Entsprechend hat der Beschwerdeführer keinen Anspruch auf Leis- tungen der Invalidenversicherung. Bei diesem Ausgang ist auf seine Aus- führungen zu seiner gesundheitlichen Situation nicht weiter einzugehen.</w:t>
      </w:r>
    </w:p>
    <w:p>
      <w:r>
        <w:rPr>
          <w:b/>
        </w:rPr>
        <w:t>E. 6</w:t>
      </w:r>
    </w:p>
    <w:p>
      <w:r>
        <w:t>Zusammenfassend ist festzuhalten, dass sich die Beschwerde als offen- sichtlich unbegründet erweist, sodass sie im einzelrichterlichen Verfahren gemäss Art. 23 Abs. 2 Bst. c VGG in Verbindung mit Art. 69 Abs. 2 IVG und Art. 85bis Abs. 3 AHVG abzuweisen ist.</w:t>
      </w:r>
    </w:p>
    <w:p>
      <w:r>
        <w:rPr>
          <w:b/>
        </w:rPr>
        <w:t>E. 7</w:t>
      </w:r>
    </w:p>
    <w:p>
      <w:r>
        <w:t>Zu befinden bleibt über die Verfahrenskosten und eine allfällige Parteient- schädigung.</w:t>
      </w:r>
    </w:p>
    <w:p>
      <w:r>
        <w:rPr>
          <w:b/>
        </w:rPr>
        <w:t>E. 7.1</w:t>
      </w:r>
    </w:p>
    <w:p>
      <w:r>
        <w:t>Das Beschwerdeverfahren ist kostenpflichtig (Art. 69 Abs. 1bis und 2 IVG), wobei die Verfahrenskosten gemäss Art. 63 Abs. 1 VwVG in der Re- gel der unterliegenden Partei auferlegt werden. Entsprechend dem Aus- gang des Verfahrens sind die für den vorliegenden Fall auf Fr. 400.– fest- zusetzenden Verfahrenskosten dem unterliegenden Beschwerdeführer aufzuerlegen. Dieser Betrag ist dem von ihm geleisteten Kostenvorschuss von Fr. 800.– (BVGer-act. 10) zu entnehmen. Der Überschuss von</w:t>
      </w:r>
    </w:p>
    <w:p>
      <w:r>
        <w:t>C-3001/2022 Seite 10 Fr. 400.– ist ihm nach Eintritt der Rechtskraft dieses Urteils zurückzuerstat- ten.</w:t>
      </w:r>
    </w:p>
    <w:p>
      <w:r>
        <w:rPr>
          <w:b/>
        </w:rPr>
        <w:t>E. 7.2</w:t>
      </w:r>
    </w:p>
    <w:p>
      <w:r>
        <w:t>Die Beschwerdeinstanz kann der ganz oder teilweise obsiegenden Partei von Amtes wegen oder auf Begehren eine Entschädigung für ihr er- wachsene notwendige und verhältnismässig hohe Kosten zusprechen (Art. 64 Abs. 1 VwVG). Als Bundesbehörde hat die obsiegende Vorinstanz jedoch keinen Anspruch auf Parteientschädigung (Art. 7 Abs. 3 des Regle- 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