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C-2/2012 vom 4. Juni 2012</w:t>
      </w:r>
    </w:p>
    <w:p>
      <w:r>
        <w:t>Bundesverwaltungsgericht, 2012-06-04, DE</w:t>
      </w:r>
    </w:p>
    <w:p>
      <w:r>
        <w:rPr>
          <w:b/>
        </w:rPr>
        <w:t xml:space="preserve">Quelle: </w:t>
      </w:r>
      <w:r>
        <w:t>https://mcp.opencaselaw.ch/entscheid/bvger_C-2_2012</w:t>
      </w:r>
    </w:p>
    <w:p>
      <w:r>
        <w:t>FR: TAF C-2/2012 du 4 juin 2012</w:t>
      </w:r>
    </w:p>
    <w:p>
      <w:r>
        <w:t>IT: TAF C-2/2012 del 4 giugno 2012</w:t>
      </w:r>
    </w:p>
    <w:p>
      <w:pPr>
        <w:pStyle w:val="Heading2"/>
      </w:pPr>
      <w:r>
        <w:t>Regeste</w:t>
      </w:r>
    </w:p>
    <w:p>
      <w:r>
        <w:t>Rentenanspruch</w:t>
      </w:r>
    </w:p>
    <w:p>
      <w:pPr>
        <w:pStyle w:val="Heading2"/>
      </w:pPr>
      <w:r>
        <w:t>Erwägungen</w:t>
      </w:r>
    </w:p>
    <w:p>
      <w:r>
        <w:rPr>
          <w:b/>
        </w:rPr>
        <w:t>E. 1</w:t>
      </w:r>
    </w:p>
    <w:p>
      <w:r>
        <w:t>Die Beschwerde wird insoweit gutgeheissen, als die Verfügung vom 6. Dezember 2011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2'500.- zugesprochen.</w:t>
      </w:r>
    </w:p>
    <w:p>
      <w:r>
        <w:rPr>
          <w:b/>
        </w:rPr>
        <w:t>E. 4</w:t>
      </w:r>
    </w:p>
    <w:p>
      <w:r>
        <w:t>Dieses Urteil geht an: - den Beschwerdeführer (Einschreiben mit Rückschein; Beilagen im Doppel: Duplik inkl. Stellungnahme RAD vom 10.5.2012) - die Vorinstanz (Ref-Nr. [...]) - das Bundesamt für Sozialversicherungen Für die Rechtsmittelbelehrung wird auf die nächste Seite verwiesen.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