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C-299/2006 vom 6. Juni 2008</w:t>
      </w:r>
    </w:p>
    <w:p>
      <w:r>
        <w:t>Bundesverwaltungsgericht, 2008-06-06, FR</w:t>
      </w:r>
    </w:p>
    <w:p>
      <w:r>
        <w:rPr>
          <w:b/>
        </w:rPr>
        <w:t xml:space="preserve">Quelle: </w:t>
      </w:r>
      <w:r>
        <w:t>https://mcp.opencaselaw.ch/entscheid/bvger_C-299_2006</w:t>
      </w:r>
    </w:p>
    <w:p>
      <w:r>
        <w:t>FR: TAF C-299/2006 du 6 juin 2008</w:t>
      </w:r>
    </w:p>
    <w:p>
      <w:r>
        <w:t>IT: TAF C-299/2006 del 6 giugno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fédérale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Les affaires pendantes devant les commissions fédérales de recours ou d'arbitrage ou devant les services de recours des départements au 1er janvier 2007 sont traitées par le Tribunal (dans la mesure où il est compétent) selon le nouveau droit de procédure (cf. art. 53 al. 2 LTAF). A moins que la LTAF n'en dispose autrement, la procédure devant le Tribunal est régie par la PA (cf. art. 37 LTAF).</w:t>
      </w:r>
    </w:p>
    <w:p>
      <w:r>
        <w:rPr>
          <w:b/>
        </w:rPr>
        <w:t>E. 1.5</w:t>
      </w:r>
    </w:p>
    <w:p>
      <w:r>
        <w:t>X._______, qui est directement touché par la décision entreprise, a qualité pour recourir (cf. art. 48 al. 1 PA). Présenté dans la forme et les délais prescrits par la loi, le recours est recevable (cf. art. 50 et art. 52 PA).</w:t>
      </w:r>
    </w:p>
    <w:p>
      <w:r>
        <w:rPr>
          <w:b/>
        </w:rPr>
        <w:t>E. 1.6</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I.3 ci-dessus) régnant au moment où elle statue (cf. ATF 129 II 215 consid. 1.2, publication partielle de l'arrêt du Tribunal fédéral 2A.451/2002 du 28 mars 2003).</w:t>
      </w:r>
    </w:p>
    <w:p>
      <w:r>
        <w:rPr>
          <w:b/>
        </w:rPr>
        <w:t>E. 2</w:t>
      </w:r>
    </w:p>
    <w:p>
      <w:r>
        <w:t>A titre préliminaire, le Tribunal administratif fédéral précise que la présente procédure ne concerne que la question de l'assujettissement aux mesures de limitation du nombre des étrangers et non pas directement celle de l'octroi éventuel d'un titre de séjour (cf. ATF 123 II 125 consid. 2 in fine et jurisprudence citée). Partant, les conclusions du recourant, en tant qu'elles tendent à l'octroi en sa faveur d'une autorisation de séjour, sont irrecevables .</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pp. 195/196, jurisprudence et doctrine citées).</w:t>
      </w:r>
    </w:p>
    <w:p>
      <w:r>
        <w:rPr>
          <w:b/>
        </w:rPr>
        <w:t>E. 4.3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précité consid. 5.4).</w:t>
      </w:r>
    </w:p>
    <w:p>
      <w:r>
        <w:rPr>
          <w:b/>
        </w:rPr>
        <w:t>E. 5.1</w:t>
      </w:r>
    </w:p>
    <w:p>
      <w:r>
        <w:t>Dans son pourvoi, le recourant invoque le bénéfice de la circulaire du 21 décembre 2001, révisée le 8 octobre 2004, relative à la pratique de l'Office fédéral concernant la réglementation du séjour des étrangers dans les cas personnels d'extrême gravité, en reprochant à l'ODM de ne pas avoir appliqué ladite circulaire au cas d'espèce (cf. mémoire de recours, p. 5 et ss).</w:t>
      </w:r>
    </w:p>
    <w:p>
      <w:r>
        <w:rPr>
          <w:b/>
        </w:rPr>
        <w:t>E. 5.2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aOLE et le recourant ne peut tirer aucun avantage de ce texte.</w:t>
      </w:r>
    </w:p>
    <w:p>
      <w:r>
        <w:rPr>
          <w:b/>
        </w:rPr>
        <w:t>E. 6.1</w:t>
      </w:r>
    </w:p>
    <w:p>
      <w:r>
        <w:t>En l'occurrence, X._______ a sollicité l'octroi d'une exception aux mesures de limitation afin de demeurer dans le canton de Genève, où il affirme vivre depuis le mois de novembre 1990, hormis un court séjour au Pérou entre le mois de février et le mois de mai 1998 lors du décès de son père (cf. mémoire de recours, p. 2). Se fondant sur les pièces du dossier, le Tribunal estime que les éléments portés à sa connaissance (cf. formulaire de demande d'autorisation de séjour rempli le 7 juin 1991, annonce de départ de Suisse de 1997, formulaires de demandes de visa, photocopies du passeport de l'intéressé, demande de prolongation de visa du 5 décembre 2001, notice d'entretien de l'OCP-GE du 17 novembre 2004, courrier du 6 juillet 2005) permettent de constater que l'intéressé a séjourné à Genève au bénéfice d'une autorisation de séjour temporaire pour études du mois de mars 1991 au mois de juin 1997, qu'il a obtenu à plusieurs reprises des visas de visite entre 1998 et 2000, qu'il est entré en Suisse pour la dernière fois le 5 décembre 2001 au bénéfice d'un visa d'une durée d'un mois, prolongé au 12 février 2002 par l'OCP-GE, qu'il a poursuivi son séjour à Genève depuis cette dernière date à l'insu des autorités de police des étrangers en toute illégalité jusqu'au dépôt de sa demande de régularisation, au mois de janvier 2004 (cf. lettre du mandataire du 29 janvier 2004), et que depuis lors,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Au surplus, contrairement à ce que soutient l'intéressé dans son mémoire de recours, on ne saurait admettre un séjour en Suisse continu depuis 1990 (hormis le bref retour au Pérou en 1998), mais on doit bien constater une période d'interruption du séjour entre 1998 et 2001, le séjour en Suisse n'étant plus interrompu que depuis le mois de décembre 2001, étant toutefois relevé qu'il s'est poursuivi de manière illégale à l'échéance de la prolongation du visa (soit dès le 13 février 2002) jusqu'en 2004.</w:t>
      </w:r>
    </w:p>
    <w:p>
      <w:r>
        <w:rPr>
          <w:b/>
        </w:rPr>
        <w:t>E. 6.2</w:t>
      </w:r>
    </w:p>
    <w:p>
      <w:r>
        <w:t>Cela étant, il convient d'examiner les critères d'évaluation qui, autres que la seule durée du séjour en Suisse, pourraient rendre le retour du recourant dans son pays d'origine particulièrement difficile.</w:t>
      </w:r>
    </w:p>
    <w:p>
      <w:r>
        <w:rPr>
          <w:b/>
        </w:rPr>
        <w:t>E. 6.2.1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6.2.2</w:t>
      </w:r>
    </w:p>
    <w:p>
      <w:r>
        <w:t>En l'espèce, le recourant justifie d'abord sa démarche par sa parfaite intégration sociale et économique en Suisse. X._______ relève, en particulier, qu'il a travaillé durant ses études en Suisse, tout d'abord comme nettoyeur au sein d'une entreprise de nettoyage et maintenance, puis comme jardinier indépendant entre 2001 et 2004, et enfin comme employé d'entretien depuis le mois de janvier 2005 (cf. courrier du 6 juillet 2005 et attestations de travail jointes, mémoire de recours p. 2). Le recourant met en avant également son autonomie financière, puisqu'il n'a jamais bénéficié durant son séjour en Suisse d'aide sociale (mémoire de recours, p. 4). De plus, il souligne avoir créé autour de lui tout un réseau social amical (ibid.). En ce qui concerne l'intégration socioprofessionnelle de X._______, force est de constater que, comparée à celle de la moyenne des étrangers présents en Suisse depuis un laps de temps semblable, elle ne revêt aucun caractère exceptionnel. En effet, bien que le Tribunal ne remette nullement en cause les efforts d'intégration accomplis par le recourant durant sa présence sur le territoire genevois et la constance dont il a fait preuve sur le plan professionnel, il ne saurait pour autant considérer qu'il se soit créé avec la Suisse des attaches à ce point profondes et durables qu'il ne puisse plus raisonnablement envisager un retour dans son pays d'origine. Force est en effet de constater qu'au regard de la nature des emplois qu'il a exercés en Suisse (employé d'entretien, jardinier), le prénommé n'a pas acquis de connaissances ou de qualifications spécifiques telles qu'il ne pourrait plus mettre en pratique dans sa patrie et qu'il faille considérer qu'il a fait preuve d'une évolution professionnelle remarquable en Suisse justifiant, à elle seule, l'admission d'un cas de rigueur au sens de l'art. 13 let. f aOLE (cf. ATAF précité consid. 8.3 et jurisprudence citée; voir également les arrêts du Tribunal fédéral non publiés du 12 août 1996 en la cause J. c/ DFJP, du 23 janvier 1998 dans la cause A. c/ DFJP et du 2 février 1999 dans la cause P. SA et B. c/ DFJP). Par ailleurs, le Tribunal observe que le comportement de X._______ n'est pas exempt de tout reproche. En effet, même si le recourant a été autorisé à séjourner en Suisse durant ses études et dans le cadre de visas dûment octroyés par les autorités compétentes, il n'en demeure pas moins qu'il a séjourné et travaillé dans ce pays de manière totalement illégale, à tout le moins depuis le 13 février 2002, contrevenant de ce fait gravement aux prescriptions de police des étrangers (cf. art. 23 aLSEE). Cela étant, même s'il ne faut pas exagérer l'importance de ces dernières infractions qui sont inhérentes à la condition de travailleur clandestin, il n'est néanmoins pas contradictoire de tenir compte de l'existence de tels éléments (cf. ATF 130 II 39 consid. 5.2).</w:t>
      </w:r>
    </w:p>
    <w:p>
      <w:r>
        <w:rPr>
          <w:b/>
        </w:rPr>
        <w:t>E. 6.2.3</w:t>
      </w:r>
    </w:p>
    <w:p>
      <w:r>
        <w:t>Sur un autre plan, il convient de constater que le recourant, qui est né le 30 décembre 1970 au Pérou, a effectué toute sa formation (scolaire et professionnelle) dans ce pays, en accomplissant notamment des études dans un « Centre Educatif Secondaire » de 1982 à 1989 (cf. curriculum vitae joint au formulaire de demande d'autorisation de séjour rempli le 7 juin 1991). Il a ainsi vécu dans son pays d'origine jusqu'à l'âge de vingt-un ans. En outre, il a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X._______ sur le territoire suisse ait été long au point de le rendre totalement étranger à sa patrie. Il n'est en effet pas concevable que ce pays, où il a passé la majeure partie de son existence, où vivent encore deux frères (cf. notice d'entretien de l'OCP-GE du 17 novembre 2004) et dans lequel il a vécu par intermittence entre 1998 et 2001, lui soit devenu à ce point étranger qu'il ne serait plus en mesure, après une période de réadaptation, d'y retrouver ses repères. Il est dès lors indéniable que le recourant possède des attaches socio-culturelles étroites et profondes avec sa patrie. Même si l'on peut admettre, dans une certaine mesure, que le recourant a perdu une partie de ses racines au Pérou du fait de ses séjours dans le canton de Genève, force est néanmoins de constater qu'un retour dans sa patrie ne le placerait pas dans une situation exceptionnelle où l'application des règles normales de police des étrangers l'exposerait à un traitement particulièrement sévère. Au demeurant, il n'est pas inutile de rappeler ici qu'il avait lui-même choisi de retourner vivre dans son pays d'origine pour y faire prospérer une entreprise (cf. lettre du 6 juillet 2005) et que les connaissances et la pratique professionnelle que le recourant a acquises durant son séjour en Suisse constitueront certainement un atout de nature à favoriser sa réintégration professionnelle et qu'il bénéficie dans sa patrie d'un réseau familial (frères) susceptible de l'aider, sans oublier l'aide matérielle que pourrait lui apporter sa parenté résidant en Suisse.</w:t>
      </w:r>
    </w:p>
    <w:p>
      <w:r>
        <w:rPr>
          <w:b/>
        </w:rPr>
        <w:t>E. 6.2.4</w:t>
      </w:r>
    </w:p>
    <w:p>
      <w:r>
        <w:t>Par ailleurs, le fait qu'une grande partie de la famille du recourant (mère, deux soeurs, un frère) vivent en Suisse n'est pas susceptible de modifier l'analyse faite ci-dessus. En ce qui concerne les relations familiales en Suisse dont se prévaut le recourant, il convient de remarquer que la décision querellée n'est pas contraire au droit au respect de la vie familiale garanti par l'art. 8 de la Convention de sauvegarde des droits de l'homme et des libertés fondamentales du 4 novembre 1959 (CEDH, RS 0.101). En effet,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X._______ ne peut pas se prévaloir de la disposition conventionnelle précitée à l'égard de sa parenté vivant à Genève. En effet, les relations visées par l'art. 8 CEDH sont avant tout celles qui existent entre époux, ainsi que les relations entre parents et enfants mineurs vivant en ménage commun (cf. ATF 120 Ib 257 consid. 1d), ce qui n'est assurément pas le cas en l'espèce. Il suit de là que l'argumentation développée par le recourant sur l'importance de ses attaches familiales en Suisse n'est point décisive.</w:t>
      </w:r>
    </w:p>
    <w:p>
      <w:r>
        <w:rPr>
          <w:b/>
        </w:rPr>
        <w:t>E. 6.2.5</w:t>
      </w:r>
    </w:p>
    <w:p>
      <w:r>
        <w:t>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bénéficie en Suisse, notamment en raison de la différence du niveau de vie existant entre ce pays et le Pérou. Quoi qu'en pense l'intéressé (cf. mémoire de recours, p. 7-8), il n'y a pas lieu cependant de considérer que cette situation le placerait dans une situation justifiant l'application de l'art. 13 let. f aOLE. Le Tribunal observe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Quant à la pathologie dont souffre le recourant, il y a lieu de noter qu'il a pu venir en Suisse y effectuer des contrôles médicaux, qu'il ne l'a plus invoquée dans le cadre de son recours et que rien ne laisse supposer que les problèmes rencontrés à l'époque justifieraient une exception aux mesures de limitation.</w:t>
      </w:r>
    </w:p>
    <w:p>
      <w:r>
        <w:rPr>
          <w:b/>
        </w:rPr>
        <w:t>E. 6.3</w:t>
      </w:r>
    </w:p>
    <w:p>
      <w:r>
        <w:t>Le recourant se plaint enfin d'une inégalité de traitement, en ce sens que l'ODM aurait accordé « de très nombreuses exceptions aux mesures de limitation à des clandestins », sans toutefois citer des cas concrets (cf. mémoire de recours, p. 8). Le Tribunal ne saurait se prononcer d'une manière générale sur les cas de personnes qui auraient obtenu une autorisation de séjour pour des motifs humanitaires, malgré un séjour illégal. En effet, si le recourant entendait se prévaloir à ce sujet d'une inégalité de traitement, il lui incombait d'invoquer avec précision de quel(s) cas particulier(s) il s'agissait, ce qu'il n'a pas fait. Au vu de ce qui précède, le grief tiré de l'inégalité de traitement, invoqué de manière abstraite, doit être écarté (cf. à ce sujet ATAF précité, consid. 6.4).</w:t>
      </w:r>
    </w:p>
    <w:p>
      <w:r>
        <w:rPr>
          <w:b/>
        </w:rPr>
        <w:t>E. 6.4</w:t>
      </w:r>
    </w:p>
    <w:p>
      <w:r>
        <w:t>En conséquence, l'examen de l'ensemble des éléments de la présente cause amène le Tribunal à la conclusion que le recourant ne se trouve pas dans une situation d'extrême gravité au sens de l'art. 13 let. f aOLE et que c'est à bon droit que l'autorité inférieure a écarté sa requête.</w:t>
      </w:r>
    </w:p>
    <w:p>
      <w:r>
        <w:rPr>
          <w:b/>
        </w:rPr>
        <w:t>E. 7</w:t>
      </w:r>
    </w:p>
    <w:p>
      <w:r>
        <w:t>Compte tenu des considérant exposés ci-dessus, il appert que, par sa décision du 28 novembre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