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C-298/2010 vom 31. Juli 2012</w:t>
      </w:r>
    </w:p>
    <w:p>
      <w:r>
        <w:t>Bundesverwaltungsgericht, 2012-07-31, DE</w:t>
      </w:r>
    </w:p>
    <w:p>
      <w:r>
        <w:rPr>
          <w:b/>
        </w:rPr>
        <w:t xml:space="preserve">Quelle: </w:t>
      </w:r>
      <w:r>
        <w:t>https://mcp.opencaselaw.ch/entscheid/bvger_C-298_2010</w:t>
      </w:r>
    </w:p>
    <w:p>
      <w:r>
        <w:t>FR: TAF C-298/2010 du 31 juillet 2012</w:t>
      </w:r>
    </w:p>
    <w:p>
      <w:r>
        <w:t>IT: TAF C-298/2010 del 31 luglio 2012</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173.23]).</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Als Adressat der angefochtenen Verfügung ist der Beschwerdeführer zur Ergreifung des Rechtsmittels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(vgl. BGE 135 II 161 E. 2 S. 164 f.). Die Beweislast trägt die gesuchstellende Person (vgl. dazu Urteil des Bundesverwaltungsgerichts C-5286/2007 vom 4. November 2008 E. 3.2).</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oder Scheidung eingeleitet wird (vgl. dazu und zum vorangehenden: BGE 135 II 161 E. 2 S. 165 mit Hinweisen), der Gesuchsteller während der Ehe ein aussereheliches Kind zeugt (Urteil des Bundesgerichts 1C_27/2011 vom 21. März 2011 E. 6.4.1) oder eine Zweitehe schliesst, der Prostitution nachgeht oder sich in einer anderen Weise verhält, die im groben Widerspruch steht mit dem traditionellen Bild der Ehe als einer ungeteilten, von Treue und Beistand getragenen Geschlechtergemeinschaft zwischen Mann und Frau (vgl. Urteil des Bundesverwaltungsgerichts C-3912/2008 vom 8. Juni 2009 E. 3.2 mit Hinweisen).</w:t>
      </w:r>
    </w:p>
    <w:p>
      <w:r>
        <w:rPr>
          <w:b/>
        </w:rPr>
        <w:t>E. 4.1</w:t>
      </w:r>
    </w:p>
    <w:p>
      <w:r>
        <w:t>Gemäss der hier anwendbaren, bis zum 28. Februar 2011 geltenden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4.2</w:t>
      </w:r>
    </w:p>
    <w:p>
      <w:r>
        <w:t>Die formellen Voraussetzungen für eine Nichtigerklärung sind vorliegend erfüllt: Der Kanton Schaffhausen hat die Zustimmung zur Nichtigerklärung der erleichterten Einbürgerung am 21. Oktober 2009 erteilt und die Nichtigerklärung ist von der zuständigen Instanz innerhalb der gesetzlichen Frist ergangen (vgl. dazu Urteil des Bundesgerichts 1C_255/2011 vom 27. September 2011 E. 2.1.3 mit Hinweisen).</w:t>
      </w:r>
    </w:p>
    <w:p>
      <w:r>
        <w:rPr>
          <w:b/>
        </w:rPr>
        <w:t>E. 4.3</w:t>
      </w:r>
    </w:p>
    <w:p>
      <w:r>
        <w:t>Nachfolgend bleibt zu prüfen, ob die materiellen Voraussetzungen für eine Nichtigerklärung gegeben sind, indem der Beschwerdeführer seine Einbürgerung erschlichen hat.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die betroffene Person bewusst falsche Angaben macht bzw. die mit dem Einbürgerungsgesuch befasste Behörde bewusst in falschem Glauben lässt und so den Vorwurf auf sich zieht, es unterlassen zu haben, über eine erhebliche Tatsache zu informieren (vgl. BGE 135 II 161 E. 2 mit Hinweisen). Hat die betroffene Person erklärt, in einer stabilen Ehe zu leben und weiss sie, dass die Voraussetzungen für die erleichterte Einbürgerung auch im Zeitpunkt der Verfügung vorliegen müssen, so muss sie gestützt auf den Grundsatz von Treu und Glauben sowie ihre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w:t>
      </w:r>
    </w:p>
    <w:p>
      <w:r>
        <w:rPr>
          <w:b/>
        </w:rPr>
        <w:t>E. 4.4</w:t>
      </w:r>
    </w:p>
    <w:p>
      <w:r>
        <w:t>Die Täuschungshandlung des Gesuchstellers muss sich auf einen erheblichen Sachverhalt beziehen. Erheblich im Sinne von Art. 41 Abs. 1 BüG ist ein Sachverhalt nicht nur, wenn seine pflichtgemässe Offenlegung dazu geführt hätte, dass die mit dem Einbürgerungsgesuch befasste Behörde das Vorliegen einer Einbürgerungsvoraussetzung vermeint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12. Mai 2011 E. 5.3 mit Hinweisen).</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Wie bereits aus der Sachverhaltswiedergabe in der Prozessgeschichte ersichtlich, lassen sich den Akten folgende für das Verfahren wesentlichen Ereignisse und Abläufe entnehmen: Der Beschwerdeführer - damals 23 Jahre alt - stellte in der Schweiz im Juni 1998 ein Asylgesuch. Knapp zwei Jahre später - am 30. Mai 2000 - heiratete er eine beinahe 15 Jahre ältere Schweizer Bürgerin, geschieden und Mutter zweier ausserehelich geborener Kinder (Jahrgang 1983 bzw. 1986). Gestützt auf seine Heirat erhielt der Beschwerdeführer am 27. Juni 2000 eine Aufenthaltsbewilligung im Kanton Bern. Exakt drei Jahre später, am 27. Juni 2003, ersuchte er um erleichterte Einbürgerung. Am 2. September 2003 gebar eine gegenüber dem Beschwerdeführer rund drei Jahre jüngere Frau aus demselben Kulturkreis im Kosovo ein Kind, welches der Beschwerdeführer umgehend als das Seine anerkannte. Am 29. April 2005 unterzeichneten die Ehegatten die gemeinsame Erklärung zur Qualität der ehelichen Gemeinschaft und am 9. Juni 2005 verfügte die Vorinstanz die erleichterte Einbürgerung des Beschwerdeführers. Per 1. September 2006 trennten sich die Eheleute. Am 19. März 2007 wurde im Kosovo ein Antrag der Kindsmutter auf Ausstellung eines Besuchsvisums für sich und das Kind abgelehnt. Gemäss Hinweis der schweizerischen Auslandvertretung in ihrem Schreiben vom 18. Februar 2009 hatte die Antragstellerin dabei weder Angaben zu ihrem Zivilstand noch zur Person des Kindsvaters gemacht. Am 31. Oktober 2007 erwuchs das Scheidungsurteil der Ehegatten in Rechtskraft und am 19. Dezember 2008 heiratete der Beschwerdeführer die Kindsmutter im Kosovo. Anschliessend stellte er ein Familiennachzugsgesuch für die neue Ehefrau und das Kind.</w:t>
      </w:r>
    </w:p>
    <w:p>
      <w:r>
        <w:rPr>
          <w:b/>
        </w:rPr>
        <w:t>E. 6.2</w:t>
      </w:r>
    </w:p>
    <w:p>
      <w:r>
        <w:t>Der Beschwerdeführer hat noch vor Einleitung des Verfahrens auf erleichterte Einbürgerung ein aussereheliches Kind gezeugt, diesen Sachverhalt aber der Einbürgerungsbehörde vorenthalten. Dass dies für das Einbürgerungsverfahren von Bedeutung sein konnte, musste dem Beschwerdeführer bewusst sein, wurde er doch sowohl im Antragsformular wie auch im Zusammenhang mit der Erstellung des Leumundsberichts vom 24. März 2004 durch die Kantonspolizei Bern nach der Existenz vorehelich oder ausserehelich geborener eigener Kinder gefragt. Während das Stillschweigen im Zeitpunkt der Gesuchseinleitung noch mit der Tatsache gerechtfertigt werden könnte, dass das Kind damals noch nicht geboren war, so ist im Stillschweigen gegenüber der mit der Leumundserhebung betrauten Behörde eine Täuschungshandlung zu erblicken, die nach dem bisher Gesagten als erheblich im Sinne von Art. 41 Abs. 1 BüG zu erachten ist (vgl. E. 3.2, 4.3 und 4.4 vorstehend). Der Beschwerdeführer lässt in seiner Rechtsmitteleingabe vom 18. Januar 2010 geltend machen, er sei sich "zum damaligen Zeitpunkt" nicht bewusst gewesen, dass er das Kind gegenüber der Einbürgerungsbehörde hätte angeben müssen; dies gerade auch deshalb, weil es sich bei dessen Mutter aufgehalten habe. Der Einwand ist - nicht zuletzt angesichts der klaren Fragestellung im Antragsformular und im Erhebungsbericht der Kantonspolizei - unbehelflich. Der Beschwerdeführer musste sich bewusst sein, dass dieser Umstand nicht nur im Zeitpunkt der Gesuchseinreichung, sondern während des ganzen Verfahrens auf Erteilung der erleichterten Einbürgerung von wesentlichem Interesse war. Tritt hinzu, dass die Kindsmutter offenbar noch im März 2007 und damit lange nach Abschluss des Einbürgerungsverfahrens versuchte, unter Verheimlichung dieser familiären Verbindungen zum Beschwerdeführer in die Schweiz zu gelangen.</w:t>
      </w:r>
    </w:p>
    <w:p>
      <w:r>
        <w:rPr>
          <w:b/>
        </w:rPr>
        <w:t>E. 6.3.1</w:t>
      </w:r>
    </w:p>
    <w:p>
      <w:r>
        <w:t>Unbesehen dieses vom Beschwerdeführer gesetzten Nichtigkeitstatbestandes begründen die zeitlichen Abläufe (insbesondere die zeitliche Nähe zwischen erleichterter Einbürgerung und Trennung) die tatsächliche Vermutung, dass bereits vor Abschluss des Einbürgerungsverfahrens keine intakte, auf Zukunft gerichtete eheliche Gemeinschaft mehr bestand. Der prekäre Status des Beschwerdeführers im Zeitpunkt seiner Heirat (Aufenthaltsrecht allein gestützt auf ein hängiges Asylgesuch), der Eheschluss mit einer fast 15 Jahre älteren Frau ausserhalb seines Kulturkreises, dazu noch geschieden und Mutter zweier ausserehelich geborener Kinder, seine rasche Gesuchstellung im Verfahren um erleichterte Einbürgerung, ganz besonders aber seine aussereheliche Beziehung mit einer gegenüber der schweizerischen Ehefrau wesentlich jüngeren Frau aus seinem Kulturkreis bilden in ihrer Gesamtheit weitere Indizien für die Richtigkeit der tatsächlichen Vermutung.</w:t>
      </w:r>
    </w:p>
    <w:p>
      <w:r>
        <w:rPr>
          <w:b/>
        </w:rPr>
        <w:t>E. 6.3.2</w:t>
      </w:r>
    </w:p>
    <w:p>
      <w:r>
        <w:t>Der Beschwerdeführer wendet dagegen ein, seine Ehe mit der Schweizer Bürgerin sei noch im Zeitpunkt der erleichterten Einbürgerung intakt gewesen und später an Umständen zerbrochen, die einseitig von seiner Ehefrau ausgegangen seien. Die geschiedene Ehefrau führte dazu in einer Stellungnahme vom 1. Juni 2008 aus, sie sei durch hormonelle Veränderungen in eine Art Lebenskrise geraten, in der sie alles in Frage gestellt habe. Sie habe sich total zurückgezogen und sei in eine Depression gefallen, von der sie sich nur langsam erholt habe. Ihr Wunsch nach Freiheit - nicht nur aus der Ehe - sei immer grösser geworden. So sei aus den gleichen Gründen auch ihre jüngste Tochter aus dem gemeinsamen Haushalt ausgezogen. In einer weiteren Stellungnahme vom 2. Juni 2009 ergänzte die geschiedene Ehefrau, ihre Krise habe sich auch auf ihr Intimleben ausgewirkt und dieses zum Erliegen gebracht. Sie hätten sich deshalb gegenseitig sexuelle Freiräume zugestanden. In einem Schreiben vom 20. Dezember 2009 bestätigte die Tochter der geschiedenen Schweizer Ehefrau diese Darstellung in groben Zügen. Der Beschwerdeführer sei eine Vaterfigur für sie gewesen. Es sei ihre Mutter gewesen, die sich vom Beschwerdeführer (und auch von ihr) zurückgezogen habe. Als sie die Distanzierung ihrer Mutter zum Beschwerdeführer langsam realisiert habe, sei die Trennung seitens der Mutter schon beschlossene Sache gewesen. Der Beschwerdeführer habe noch lange Zeit versucht, die Beziehung zu retten, ihre Mutter besitze aber einen starken Willen. Als sie von ihrer Mutter erfahren habe, dass der Beschwerdeführer Vater geworden sei, habe sie sich ausserordentlich gefreut. Solches habe sie sich für ihn insgeheim immer gewünscht, weil er diese Rolle ihr gegenüber so gut ausgefüllt habe.</w:t>
      </w:r>
    </w:p>
    <w:p>
      <w:r>
        <w:rPr>
          <w:b/>
        </w:rPr>
        <w:t>E. 6.3.3</w:t>
      </w:r>
    </w:p>
    <w:p>
      <w:r>
        <w:t>In den vorerwähnten Stellungnahmen wie auch in denjenigen des Beschwerdeführers fällt auf, dass die Ereignisse und Entwicklungen, die zum Zerfall der ehelichen Beziehung geführt haben sollen, in zeitlicher Hinsicht äusserst unbestimmt gehalten werden. In der Stellungnahme vom 10. November 2009 an die Adresse der Vorinstanz liess der Beschwerdeführer allerdings geltend machen, die "kurze sexuelle Episode", die zur Zeugung des ausserehelichen Kindes geführt habe, habe deshalb nicht im Widerspruch zu seinen ehelichen Verpflichtungen gestanden, weil er und seine damalige Ehefrau sich gegenseitig sexuelle Freiräume zugestanden hätten. Seine inzwischen geschiedene Ehefrau werte diese kurze Affäre nicht als "ehelichen Betrug". Diese Darstellung wird in der Beschwerdeschrift vom 18. Januar 2010 (unter II. B. 4) fast wörtlich wiederholt. Sie lässt keinen andern Schluss zu, als dass schon Ende 2002 oder Anfang 2003 in der Ehe ernsthafte Probleme aufgetreten sein müssen, die zur gegenseitigen "sexuellen Freigabe" der Ehegatten führten, einem Zustand, der mit dem Begriff der intakten Ehe im Sinne der bürgerrechtlichen Gesetzgebung nicht zu vereinbaren ist (vgl. oben E. 3.2 in fine mit Hinweis). Immerhin räumt der Beschwerdeführer in der Rechtsmittelschrift vom 18. Januar 2010 (unter II B. 5.) ein, dass sich die schweizerische Ehefrau schon im Zeitpunkt der Zeugung seines ausserehelichen Kindes in einer "Lebenskrise" befunden habe. Seine daran anschliessende Behauptung, wonach die eheliche Gemeinschaft damals aber nicht gefährdet bzw. eine eheliche Krise nicht vorhersehbar gewesen sei, und eine Lebenskrise des einen Ehegatten nicht zwingend zu einer ehelichen Krise führe, kann in dieser pauschalen Form nicht überzeugen.</w:t>
      </w:r>
    </w:p>
    <w:p>
      <w:r>
        <w:rPr>
          <w:b/>
        </w:rPr>
        <w:t>E. 7</w:t>
      </w:r>
    </w:p>
    <w:p>
      <w:r>
        <w:t>Nach dem Gesagten ist es dem Beschwerdeführer nicht gelungen, die gegen ihn sprechende tatsächliche Vermutung überzeugend in Frage zu stellen, wonach zwischen ihm und seiner damaligen Ehefrau im Zeitpunkt der gemeinsamen Erklärung zum Zustand der Ehe vom 29. April 2005 bzw. der erleichterten Einbürgerung vom 9. Juni 2005 keine intakte, auf Zukunft gerichtete eheliche Gemeinschaft (mehr) bestand. Indem der Beschwerdeführer in der gemeinsamen Erklärung den Bestand einer intakten und stabilen Ehe versicherte, und darüber hinaus noch die Existenz eines während der Ehe ausserehelich gezeugten Kindes verheimlichte, hat er die Behörde über wesentliche Tatsachen getäuscht und die erleichterte Einbürgerung im Sinne von Art. 41 Abs. 1 BüG erschlichen. Die materiellen Voraussetzungen für die Nichtigerklärung der erleichterten Einbürgerung sind somit erfüllt.</w:t>
      </w:r>
    </w:p>
    <w:p>
      <w:r>
        <w:rPr>
          <w:b/>
        </w:rPr>
        <w:t>E. 8</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Dass der Beschwerdeführer seit Juni 1998 in der Schweiz lebt und gemäss eigenen Angaben ein "gut integrierter, rechtschaffener" und "fleissiger Bürger" ist (Beschwerde S. 9), vermag daher im Rahmen der Ermessensausübung einen Verzicht auf die Nichtigerklärung nicht zu rechtfertigen. Das Gesagte gilt umso mehr, als der Entzug des Schweizer Bürgerrechts nicht zwangsläufig mit einem Verlust des Aufenthaltsrechts einhergeht (vgl. BGE 135 II 1).</w:t>
      </w:r>
    </w:p>
    <w:p>
      <w:r>
        <w:rPr>
          <w:b/>
        </w:rPr>
        <w:t>E. 9</w:t>
      </w:r>
    </w:p>
    <w:p>
      <w:r>
        <w:t>Aus den vorstehenden Erwägungen ergibt sich, dass die angefochtene Verfügung rechtmässig ist (Art. 49 VwVG). Die Beschwerde ist daher abzuweisen.</w:t>
      </w:r>
    </w:p>
    <w:p>
      <w:r>
        <w:rPr>
          <w:b/>
        </w:rPr>
        <w:t>E. 10</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