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C-2989/2013 vom 6. Mai 2014</w:t>
      </w:r>
    </w:p>
    <w:p>
      <w:r>
        <w:t>Bundesverwaltungsgericht, 2014-05-06, DE</w:t>
      </w:r>
    </w:p>
    <w:p>
      <w:r>
        <w:rPr>
          <w:b/>
        </w:rPr>
        <w:t xml:space="preserve">Quelle: </w:t>
      </w:r>
      <w:r>
        <w:t>https://mcp.opencaselaw.ch/entscheid/bvger_C-2989_2013</w:t>
      </w:r>
    </w:p>
    <w:p>
      <w:r>
        <w:t>FR: TAF C-2989/2013 du 6 mai 2014</w:t>
      </w:r>
    </w:p>
    <w:p>
      <w:r>
        <w:t>IT: TAF C-2989/2013 del 6 maggio 2014</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des Bundesgesetzes vom 20. Dezember 1946 über die Alters- und Hinterlassenenversicherung [AHVG, SR 831.10] sowie Art. 31, 32 und 33 Bst. d des Verwaltungsgerichtsgesetzes vom 17. Juni 2005 [VGG, SR 173.32]) und der Beschwerdeführer ist als Adressat der angefochtenen Verfügung beschwerdelegitimiert (Art. 48 Abs. 1 des Verwaltungsverfahrensgesetzes vom 20. Dezember 1968 [VwVG, SR 172.021]; siehe auch Art. 59 des Bundesgesetzes vom 6. Oktober 2000 über den Allgemeinen Teil des Sozialversicherungsrechts [ATSG, SR 830.1]). Auf die frist- und formgerecht eingereichte Beschwerde vom 24. Mai 2013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24. April 2013, mit dem die Vorinstanz die Beiträge des Beschwerdeführers für die freiwillige Versicherung für das Jahr 2011 aufgrund einer amtlichen Einschätzung festgelegt hat. Streitig und vom Bundesverwaltungsgericht zu prüfen ist die Beitragshöhe, namentlich, ob die Vorinstanz die Beiträge für das Jahr 2011 zu Recht amtlich festgesetzt und diese gegebenenfalls korrekt ermittelt hat.</w:t>
      </w:r>
    </w:p>
    <w:p>
      <w:r>
        <w:rPr>
          <w:b/>
        </w:rPr>
        <w:t>E. 3</w:t>
      </w:r>
    </w:p>
    <w:p>
      <w:r>
        <w:t>Der auf den Philippinen lebende Beschwerdeführer ist Schweizer Staatsbürger. Da es sich bei der freiwilligen Versicherung um einen von der nationalen Gesetzgebung autonom erfassten Sachverhalt handelt (vgl. Ueli Kieser, Alters- und Hinterlassenenversicherung, in: Soziale Sicherheit, SBVR Bd. XIV, 2. Aufl. 2007, S. 1198 Rz. 10), richtet sich die Beurteilung der umstrittenen Beitragsfestlegung ausschliesslich nach schweizerischem Recht. Dabei sind in zeitlicher Hinsicht grundsätzlich diejenigen Rechtssätze massgebend, die bei der Erfüllung des zu Rechtsfolgen führenden Tatbestandes Geltung hatten (BGE 130 V 329 E. 2.3). Massgebend sind hier folglich jene Normen, die im strittigen Beitragszeitraum (hier: Beitragsjahr 2011) in Kraft standen, insbesondere die entsprechenden Bestimmungen des AHVG und der Verordnung vom 26. Mai 1961 über die freiwillige Alters-, Hinterlassenen- und Invalidenversicherung (VFV, SR 831.111).</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Gebrauch gemacht.</w:t>
      </w:r>
    </w:p>
    <w:p>
      <w:r>
        <w:rPr>
          <w:b/>
        </w:rPr>
        <w:t>E. 4.2</w:t>
      </w:r>
    </w:p>
    <w:p>
      <w:r>
        <w:t>Beitragspflichtig sind grundsätzlich die unselbständig erwerbstätigen, die selbständig erwerbstätigen und die nicht erwerbstätigen Versicherten (vgl. Art. 3 AHVG sowie speziell für die freiwillige Versicherung Art. 2 AHVG und Art. 13a VFV), wobei die Modalitäten der Beitragsbemessung für diese Versichertenkreise teilweise unterschiedlich ausgestaltet sind. 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w:t>
      </w:r>
    </w:p>
    <w:p>
      <w:r>
        <w:rPr>
          <w:b/>
        </w:rPr>
        <w:t>E. 4.3</w:t>
      </w:r>
    </w:p>
    <w:p>
      <w:r>
        <w:t>Gemäss Art. 43 Abs. 1 ATSG hat der Versicherungsträger die notwendigen Abklärungen von Amtes wegen vorzunehmen und die erforderlichen Auskünfte einzuholen. Die in der freiwilligen AHV Versicherten sind gehalten, der Auslandvertretung, der Ausgleichskasse und der IV-Stelle für Versicherte im Ausland alle zur Durchführung der freiwilligen Versicherung benötigten Angaben zu machen und auf Verlangen deren Richtigkeit zu belegen (Art. 5 VFV). Die Versicherten haben der Ausgleichskasse innert 30 Tagen nach Ablauf des Beitragsjahres die für die Beitragsfestlegung erforderlichen Angaben zu liefern (Art. 14b Abs. 1 VZV), worauf die Ausgleichskasse die für das Beitragsjahr geschuldeten Beiträge spätestens bis zum 30. Juni des Folgejahres mittels Verfügung festsetzt (Art. 14b Abs. 2 Satz 1 VZV). 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4.4</w:t>
      </w:r>
    </w:p>
    <w:p>
      <w:r>
        <w:t>Der Beweis der Tatsache sowie des Zeitpunktes der Zustellung einer Mahnung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will (BGE 103 V 65 E. 2a mit weiteren Hinweisen).</w:t>
      </w:r>
    </w:p>
    <w:p>
      <w:r>
        <w:rPr>
          <w:b/>
        </w:rPr>
        <w:t>E. 5</w:t>
      </w:r>
    </w:p>
    <w:p>
      <w:r>
        <w:t>Zu prüfen ist zunächst, ob die Vorinstanz ein ordnungsgemässes Mahnverfahren im Sinn von Art. 17 Abs. 1 VFV durchgeführt hat, welches Voraussetzung für eine amtliche Veranlagung ist.</w:t>
      </w:r>
    </w:p>
    <w:p>
      <w:r>
        <w:rPr>
          <w:b/>
        </w:rPr>
        <w:t>E. 5.1</w:t>
      </w:r>
    </w:p>
    <w:p>
      <w:r>
        <w:t>Der Beschwerdeführer macht geltend, dass sich die Behauptung der Vorinstanz, ihm im Jahr 2011 viermal geschrieben zu haben, seiner Kenntnis entziehe. Er habe weder auf normalem Postweg noch mittels eingeschriebener Sendung je Post von der Vorinstanz erhalten. Er hatte bereits in seiner Einsprache vorgebracht, dass er die von der Vorinstanz erwähnten "Veranlagungspapiere usw." auf den Philippinen nicht erhalten habe und die Postzustellung dort nicht gewährleistet sei. Folglich bestreitet der Beschwerdeführer insbesondere auch den Erhalt der Mahnung vom 14. Dezember 2012.</w:t>
      </w:r>
    </w:p>
    <w:p>
      <w:r>
        <w:rPr>
          <w:b/>
        </w:rPr>
        <w:t>E. 5.2</w:t>
      </w:r>
    </w:p>
    <w:p>
      <w:r>
        <w:t>Aus den Akten ergibt sich, dass die Mahnung vom 14. Dezember 2012 uneingeschrieben verschickt wurde. Bei Verwendung einer Zustellform, bei welcher der Eingang beim Adressaten nicht genau nachweisbar ist und die Zustellung bestritten wird, liegt es an der Vorinstanz, den Beweis dafür zu erbringen, dass die Mahnung dem Beschwerdeführer zugestellt wurde (vgl. BGE 122 I 97 E. 3). Diesen Nachweis hat die Vorinstanz jedoch nicht erbracht, zumal der Beschwerdeführer auf die Mahnung auch in keiner Weise reagiert hat. Im Übrigen kann auch das uneingeschrieben verschickte Schreiben der Vorinstanz vom 4. Oktober 2012 (act. 20) nicht als Mahnung im Sinne von Art. 17 Abs. 1 VFV qualifiziert werden, weil die Vorinstanz den Beschwerdeführer darin insbesondere nicht auf die nachteiligen Folgen der Widersetzlichkeit aufmerksam gemacht hat, was jedoch notwendiger Inhalt einer Mahnung wäre (vgl. BGE 122 V 218 E. 4b).</w:t>
      </w:r>
    </w:p>
    <w:p>
      <w:r>
        <w:rPr>
          <w:b/>
        </w:rPr>
        <w:t>E. 5.3</w:t>
      </w:r>
    </w:p>
    <w:p>
      <w:r>
        <w:t>Die Vorinstanz hat den Beschwerdeführer damit nicht rechtsgenüglich im Sinne von Art. 17 Abs. 1 VFV gemahnt, weshalb die erfolgte amtliche Einschätzung zu Unrecht erfolgte. Die Beschwerde ist daher gutzuheissen und der angefochtene Einspracheentscheid vom 24. April 2013 aufzuheben. Die Sache ist an die Vorinstanz zurückzuweisen, damit diese den Beschwerdeführer ordnungsgemäss auffordere, die nötigen Unterlagen einzureichen, um anschliessend die Höhe des Beitrages für das Jahr 2011 festzulegen.</w:t>
      </w:r>
    </w:p>
    <w:p>
      <w:r>
        <w:rPr>
          <w:b/>
        </w:rPr>
        <w:t>E. 6.1</w:t>
      </w:r>
    </w:p>
    <w:p>
      <w:r>
        <w:t>Das Verfahren ist kostenlos (Art. 85bis Abs. 2 AHVG), weshalb keine Verfahrenskosten zu erheben sind.</w:t>
      </w:r>
    </w:p>
    <w:p>
      <w:r>
        <w:rPr>
          <w:b/>
        </w:rPr>
        <w:t>E. 6.2</w:t>
      </w:r>
    </w:p>
    <w:p>
      <w:r>
        <w:t>Der obsiegenden Partei kann von Amtes wegen oder auf Begehren eine Entschädigung für ihr erwachsene notwendige und verhältnismässig hohe Kosten zugesprochen werden (Art. 64 Abs. 1 VwVG). Dem obsiegenden, nicht berufsmässig vertretenen Beschwerdeführer sind jedoch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