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C-2989/2012 vom 31. Januar 2013</w:t>
      </w:r>
    </w:p>
    <w:p>
      <w:r>
        <w:t>Bundesverwaltungsgericht, 2013-01-31, FR</w:t>
      </w:r>
    </w:p>
    <w:p>
      <w:r>
        <w:rPr>
          <w:b/>
        </w:rPr>
        <w:t xml:space="preserve">Quelle: </w:t>
      </w:r>
      <w:r>
        <w:t>https://mcp.opencaselaw.ch/entscheid/bvger_C-2989_2012</w:t>
      </w:r>
    </w:p>
    <w:p>
      <w:r>
        <w:t>FR: TAF C-2989/2012 du 31 janvier 2013</w:t>
      </w:r>
    </w:p>
    <w:p>
      <w:r>
        <w:t>IT: TAF C-2989/2012 del 31 gennaio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a qualité pour recourir, étant donné qu'il a participé à la procédure devant l'ODM, qu'en tant que destinataire de la décision attaquée, il est spécialement atteint par celle-ci et qu'enfin, il a un intérêt digne de protection à son annulation, dès lors que son intérêt à pouvoir rendre visite à ses amis en Suisse demeure actuel.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2011/1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voir également ATF 135 II 1 consid. 1.1 p. 4).</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 marocain, A._______ est soumis à l'obligation du visa.</w:t>
      </w:r>
    </w:p>
    <w:p>
      <w:r>
        <w:rPr>
          <w:b/>
        </w:rPr>
        <w:t>E. 5</w:t>
      </w:r>
    </w:p>
    <w:p>
      <w:r>
        <w:t>Dans la décision querellée, l'ODM a refusé d'autoriser l'entrée en Suisse de A._______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In casu, le Tribunal ne saurait d'emblée écarter les craintes émises par l'autorité intimée, notamment au vu de la situation qui prévaut au Maroc sur le plan social et économique. A ce propos, il convient notamment de prendre en considération la qualité de vie et les conditions économiques et sociales difficiles que connaît l'ensemble de la population du Maroc. S'agissant de la situation économique, le Tribunal constate que le produit intérieur brut (PIB) par habitant en 2011 s'élevait à environ USD 3'100 pour le Maroc et à environ USD 83'100 pour la Suisse (voir le site internet du Fonds monétaire international: www.imf.org &gt; Data and Statistics &gt; World Economic Outlook Databases (WEO) &gt; World Economic Outlook Databases October 2012 &gt; By Countries (country-level data) &gt; All countries, consulté en janvier 2013). En effet, malgré les réformes initiées ces dernières années par le gouvernement pour lutter contre la pauvreté et le sous-emploi, l'économie marocaine reste fragile. Si le pays a certes renoué avec la croissance, celle-ci n'est pas suffisante pour faire face au défi démographique. Ainsi, le Maroc connaît toujours un taux de chômage élevé (environ 9% en 2010 et en 2011), qui atteint des niveaux alarmants chez les jeunes urbains et les diplômés (respectivement de 32% et de 20% de chômeurs), une situation qui pourrait encore se péjorer compte tenu du ralentissement de l'activité économique que connaît le pays depuis 2009 (en particulier dans les secteurs secondaire et tertiaire) en raison de la crise financière internationale et, plus récemment, en raison de la situation politique régionale (cf. Ministère français des affaires étrangères, France Diplomatie, http://www.diplomatie.gouv.fr, Présentation du Maroc et de la Suisse &gt; Données générales, consulté en janvier 2013). En outre, l'indice de développement humain (IDH) 2011, qui prend en compte la santé, l'éducation et le niveau de vie, classe le Maroc en 130ième position sur 187 pays, et la Suisse en 11ième position pour la même année (voir le site internet des rapports sur le développement humain du Programme des Nations Unies pour le développement [HDR UNDP]: http//hdr.undp.org &gt; Human development index 2011, consulté en janvier 2013).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notamment en la personne de B._______.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personnelle, familiale, professionnelle et patrimoniale de l'intéressé plaide en faveur de sa sortie ponctuelle de Suisse, respectivement de l'Espace Schengen, au terme du séjour envisagé.</w:t>
      </w:r>
    </w:p>
    <w:p>
      <w:r>
        <w:rPr>
          <w:b/>
        </w:rPr>
        <w:t>E. 6.1</w:t>
      </w:r>
    </w:p>
    <w:p>
      <w:r>
        <w:t>Dans le cas d'espèce, le Tribunal constate que A._______ est célibataire et vit avec ses parents ainsi que ses frères et ses soeurs. Il apparaît par ailleurs qu'il n'exerce aucune activité lucrative et qu'il dépend entièrement de sa famille sur le plan financier. Il ressort des éléments qui précèdent que le prénommé dispose d'attaches familiales importantes dans son pays d'origine, dans la mesure où il partage son quotidien avec ses parents et ses frères et soeurs. Cela étant, si la présence de membres de la famille proche dans le pays d'origine constitue généralement une circonstance de nature à inciter un ressortissant étranger à retourner dans sa patrie après un séjour à l'étranger, tel n'est toutefois pas nécessairement le cas lorsqu'il existe, comme en l'espèce, des disparités considérables au plan socio-économique entre ce pays et la Suisse. Il importe également de relever que l'intéressé n'a pas de responsabilités familiales (telles qu'une épouse ou des enfants) ou professionnelles susceptibles de le dissuader de se créer une nouvelle existence hors de sa patrie. Certes, le fait que le recourant soit atteint d'un handicap physique et qu'il dépende donc largement du soutien des membres de sa famille pourrait le dissuader de prolonger son séjour en Suisse au-delà du terme du visa requis. L'amyotrophie congénitale dont souffre l'intéressé le restreint effectivement au quotidien et rend l'exercice d'une activité lucrative plus difficile. Cependant, le Tribunal ne saurait retenir que l'affection dont souffre A._______ le rende à tel point dépendant des membres de sa famille que sa sortie de Suisse puisse être tenue pour assurée, dans la mesure où plusieurs éléments du dossier permettent de considérer que, malgré son handicap, le recourant dispose d'une certaine mobilité ainsi que d'une certaine indépendance. En effet, même s'il n'exerce aucune activité lucrative régulière, il a pu servir de guide touristique aux amis suisses, qui lui proposent désormais à leur tour de lui faire découvrir la Suisse, lors de leurs séjours touristiques au Maroc et il peut envisager d'effectuer un séjour d'une durée de trois mois auprès d'une amie, dans un autre pays, loin de ses proches. Partant, même si le fait que le recourant soit atteint d'un handicap physique constitue un élément susceptible de l'inciter à retourner dans son pays d'origine à l'échéance du visa sollicité, il ne permet pas, à lui seul, d'infirmer les craintes émises par l'autorité inférieure. Finalement, aucun élément du dossier ne permet de considérer que la situation patrimoniale du recourant ou de sa famille serait de nature à le dissuader de prolonger son séjour en Suisse au-delà de l'échéance de l'autorisation requise. Tenant compte des éléments qui précèdent, le Tribunal ne saurait retenir que le recourant ne serait pas en mesure de prolonger son séjour sur le territoire helvétique à l'échéance de son visa, voire d'envisager une nouvelle existence dans ce pays et ne saurait donc reprocher à l'ODM d'avoir considéré que le retour de l'intéressé dans son pays d'origine n'était pas suffisamment assuré.</w:t>
      </w:r>
    </w:p>
    <w:p>
      <w:r>
        <w:rPr>
          <w:b/>
        </w:rPr>
        <w:t>E. 7</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précité consid. 9) et ne suffisent pas non plus à garantir que son départ interviendra dans les délais prévus.</w:t>
      </w:r>
    </w:p>
    <w:p>
      <w:r>
        <w:rPr>
          <w:b/>
        </w:rPr>
        <w:t>E. 8</w:t>
      </w:r>
    </w:p>
    <w:p>
      <w:r>
        <w:t>Par ailleurs, le recourant n'a pas invoqué de raisons susceptibles de justifier la délivrance d'un visa à validité territoriale limitée (cf. consid. 4.4 ci-avant), son handicap physique n'étant pas, en tant que tel, de nature à justifier l'octroi d'un tel visa pour motifs humanitaires.</w:t>
      </w:r>
    </w:p>
    <w:p>
      <w:r>
        <w:rPr>
          <w:b/>
        </w:rPr>
        <w:t>E. 9</w:t>
      </w:r>
    </w:p>
    <w:p>
      <w:r>
        <w:t>Compte tenu des considérants exposés ci-dessus, le Tribunal estime qu'il ne saurait être reproché à l'ODM d'avoir refusé la délivrance d'une autorisation d'entrée dans l'Espace Schengen en faveur de A._______. Il s'ensuit que, par sa décision du 20 avril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