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C-2983/2015 vom 7. Oktober 2015</w:t>
      </w:r>
    </w:p>
    <w:p>
      <w:r>
        <w:t>Bundesverwaltungsgericht, 2015-10-07, DE</w:t>
      </w:r>
    </w:p>
    <w:p>
      <w:r>
        <w:rPr>
          <w:b/>
        </w:rPr>
        <w:t xml:space="preserve">Quelle: </w:t>
      </w:r>
      <w:r>
        <w:t>https://mcp.opencaselaw.ch/entscheid/bvger_C-2983_2015</w:t>
      </w:r>
    </w:p>
    <w:p>
      <w:r>
        <w:t>FR: TAF C-2983/2015 du 7 octobre 2015</w:t>
      </w:r>
    </w:p>
    <w:p>
      <w:r>
        <w:t>IT: TAF C-2983/2015 del 7 ottobre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einer dominikanischen Staatsangehörigen um Erteilung eines Visums für einen 90-tägigen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resp. dass die gesuchstellende Person für die gesicherte Wiederausreise Gewähr bietet (vgl. Art. 14 Abs. 1 Bst. d und Art. 21 Abs. 1 Visakodex; Art. 5 Abs. 2 AuG; BVGE 2009/27 E. 5 mit Hervorhebung des Zusammenhangs mit dem Einreiseerfordernis des belegten Aufenthaltszwecks nach Art. 5 Abs. 1 Bst. c SGK). Ein Visum darf nur erteilt werden, wenn keine begründeten Zweifel an der Absicht des Gesuchstellers bzw. der Gesuchstellerin bestehen, den Schengen-Raum vor Ablauf des beantragten Visums zu verlassen (vgl. BVGE 2014/1 E. 4.4 m.H.).</w:t>
      </w:r>
    </w:p>
    <w:p>
      <w:r>
        <w:rPr>
          <w:b/>
        </w:rPr>
        <w:t>E. 4.5</w:t>
      </w:r>
    </w:p>
    <w:p>
      <w:r>
        <w:t>Sind die vorerwähnten Einreisevoraussetzungen (Visum ausgenommen) nicht erfüllt, darf ein für den gesamten Schengen-Raum geltendes "einheitliches Visum" (Art. 2 Ziff. 3 Visakodex) nicht erteilt werden (Art. 32 Visakodex, Art. 12 VEV).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w:t>
      </w:r>
    </w:p>
    <w:p>
      <w:r>
        <w:rPr>
          <w:b/>
        </w:rPr>
        <w:t>E. 5.2</w:t>
      </w:r>
    </w:p>
    <w:p>
      <w:r>
        <w:t>Wie oben erwähnt, unterliegt die Gesuchstellerin als dominikanische Staatsangehörige der Vi­sumspflicht (vgl.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alle Umstände des konkreten Einzelfalles zu würdigen.</w:t>
      </w:r>
    </w:p>
    <w:p>
      <w:r>
        <w:rPr>
          <w:b/>
        </w:rPr>
        <w:t>E. 5.3</w:t>
      </w:r>
    </w:p>
    <w:p>
      <w:r>
        <w:t>Die dominikanische Wirtschaft zeichnete sich über Jahre hinweg durch ein starkes Wachstum von durchschnittlich 5% jährlich aus; seit 2011 ging dieses jedoch kontinuierlich zurück und betrug 2013 noch 4.1%, was zwar regional gesehen weiterhin eine gute Platzierung ist. Allerdings ist die Einkommensverteilung sehr ungleich, da sich dieses Wachstum nicht in einer quer durch die Gesamtgesellschaft gehenden Wohlstandsentwicklung auswirkt und die Armutsquote nach wie vor bei 40% liegt. Die wichtigsten Einnahmequellen sind weiterhin der Tourismus, die Exportgewinne aus den Freihandelszonen, die Landwirtschaft und die Transferzahlungen der im Ausland lebenden Dominikaner, welche rund 6% des Bruttoinlandprodukts ausmachen und seit einigen Jahren auf einem konstanten Niveau sind. Der überwiegende Teil der Zahlungen stammt aus den USA (ca. 80%) und Europa (Quelle: Webseite des deutschen Auswärtigen Amtes: www.auswaertiges-amt.de, Aussen- und Europapolitik &gt; Länderinformationen &gt; Dominikanische Republik &gt; Wirtschaft, Stand: Dezember 2014, besucht im September 2015). In der Dominikanischen Republik sind somit zweifellos breite Bevölkerungsschichten von vergleichsweise schwierigen wirtschaftlichen Lebensbedingungen betroffen. Vor diesem Hintergrund besteht vielfach der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 Die Beschwerdeführer bringen in diesem Zusammenhang sinngemäss vor, die Berufung auf die Zuwanderung aus der Herkunftsregion der Gesuchstellerin sowie der Hinweis auf die in zahlreichen Fällen gemachten Erfahrungen sei zu pauschalisiert. Dazu ist klarzustellen, dass es in der Tat zu schematisch und nicht haltbar wäre, generell und ohne spezifische Anhaltspunkte, ausschliesslich aufgrund der allgemeinen Lage im Herkunftsland auf eine nicht hinreichend gesicherte Wiederausreise zu schliessen. Im Rahmen einer Gesamtwürdigung können jedoch aus der allgemeinen Lage im Herkunftsland und der Zuwanderungssituation Anhaltspunkte zur Beurteilung der fristgerechten Wiederausreise gewonnen werden. So können insbesondere Einreisegesuche von Bürgerinnen und Bürgern aus Staaten bzw. Regionen mit politisch oder wirtschaftlich vergleichsweise ungünstigen Verhältnissen darauf hindeuten, dass die persönliche Interessenlage in solchen Fällen nicht mit dem Ziel und Zweck einer zeitlich befristeten Einreisebewilligung in Einklang steht (vgl. etwa Urteile des BVGer C-3777/2012 vom 28. Januar 2013 E. 5.2 sowie C 4142/2010 vom 15. August 2011 E. 7.2).</w:t>
      </w:r>
    </w:p>
    <w:p>
      <w:r>
        <w:rPr>
          <w:b/>
        </w:rPr>
        <w:t>E. 5.4</w:t>
      </w:r>
    </w:p>
    <w:p>
      <w:r>
        <w:t>Bei der Risikoanalyse sind demnach nicht nur solch allgemeine Umstände und Erfahrungen, sondern auch, wie erwähnt,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So besteht denn auch für Staatsangehörige aus der Dominikanischen Republik durchaus die Möglichkeit, eine Einreisebewilligung zu erhalten, sofern die persönlichen Verhältnisse auf eine fristgerechte Rückkehr ins Heimatland schliessen lassen (vgl. Urteil des BVGer C 6790/2013 vom 13. Mai 2015 E. 5.4). Andererseits muss bei Personen, die in ihrer Heimat keine besonderen Verpflichtungen haben, das Risiko für ein ausländerrecht­lich nicht regelkonformes Verhalten (nach bewilligter Ein­reise zu einem Besuchsaufenthalt) als hoch eingeschätzt werden.</w:t>
      </w:r>
    </w:p>
    <w:p>
      <w:r>
        <w:rPr>
          <w:b/>
        </w:rPr>
        <w:t>E. 6.1</w:t>
      </w:r>
    </w:p>
    <w:p>
      <w:r>
        <w:t>Die mittlerweile 29-jährige und unverheiratete Gesuchstellerin lebt gemäss den Visumsakten in ihrem Heimatland in gemeinsamem Haushalt mit ihrer Tante. Irgendwelche Verantwortlichkeiten der Eingeladenen gegenüber dieser Person werden von den Beschwerdeführern hingegen nicht geltend gemacht. Anhaltspunkte für das Bestehen eines besonderen Betreuungsbedarfs von Angehörigen, der nur durch die Gesuchstellerin selbst abgedeckt werden könnte, sind denn auch aus den Akten nicht ersichtlich. Es kann demnach nicht davon ausgegangen werden, im persönlichen oder familiären Umfeld der Eingeladenen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w:t>
      </w:r>
    </w:p>
    <w:p>
      <w:r>
        <w:rPr>
          <w:b/>
        </w:rPr>
        <w:t>E. 6.2</w:t>
      </w:r>
    </w:p>
    <w:p>
      <w:r>
        <w:t>Die wirtschaftlichen Verhältnisse, in denen sich die Gesuchstellerin befindet, lassen ebenfalls nicht auf eine günstige Prognose bezüglich einer gesicherten Wiederausreise schliessen. Anlässlich ihrer Gesuchseinreichung konnte die Eingeladene weder Angaben zu ihrer beruflichen Tätigkeit noch zu einem allfälligen Arbeitgeber machen, bezeichnete sie sich doch als Studentin ("Estudiante"; vgl. Ziff. 19 und 20 des persönlichen Einreisegesuches). Entsprechend hielt die Schweizerische Vertretung in Santo Domingo bei der Prüfung des Einreisegesuches gegenüber der Vorinstanz fest, die Gesuchstellerin sei arbeitslos. Ungeachtet dessen machten die Beschwerdeführer gegenüber der kantonalen Migrationsbehörde jedoch geltend, die eingeladene Tochter bzw. Stieftochter arbeite mit einem Beschäftigungsgrad von 80% bei einer Familie im Haushalt. Entsprechende Arbeitsbestätigungen oder allfällige Einkommensbelege, welche die angeblichen beruflichen Bindungen der Gesuchstellerin in der Dominikanischen Republik zweifelsfrei nachgewiesen hätten, wurden hingegen von den Beteiligten weder während des vorinstanzlichen Verfahrens noch auf Beschwerdeebene vorgewiesen. Von der Vorinstanz in der angefochtenen Verfügung auf diese Widersprüche hingewiesen, belassen es die Beschwerdeführer in ihrer Rechtsmitteleingabe bei der Bemerkung, es sei irrelevant, ob die Eingeladene nun Studentin sei oder in einem Anstellungsverhältnis stehe. Aufgrund dieser Aktenlage kann jedenfalls nicht von einer beruflichen Verankerung oder auch nur von vorteilhaften wirtschaftlichen Verhältnissen ausgegangen werden, die nachhaltig von einer Emigration abzuhalten vermöchten, zumal die Beschwerdeführer betonen, die Gesuchstellerin sei schon immer von ihnen finanziell abhängig gewesen. Vor diesem Hintergrund müssen die Beteuerungen auf Beschwerdeebene, wonach genügend Garantien für eine fristgerechte Wiederausreise vorhanden seien, als nicht ausschlaggebend bezeichnet werden. Dies umso weniger, als die von der Schweizervertretung sowie der Vorinstanz geäusserten Zweifel am Aufenthaltszweck von den Beschwerdeführern im Verlaufe des Verfahrens nicht ausgeräumt werden konnten und als durchaus begründet erscheinen.</w:t>
      </w:r>
    </w:p>
    <w:p>
      <w:r>
        <w:rPr>
          <w:b/>
        </w:rPr>
        <w:t>E. 6.3</w:t>
      </w:r>
    </w:p>
    <w:p>
      <w:r>
        <w:t>Vor dem dargelegten allgemeinen und persönlichen Hintergrund durfte die Vorinstanz, die bereits zwei früheren Einreisebegehren aus den gleichen Gründen nicht stattgegeben hatte, demnach willkürfrei davon ausgehen, die Wiederausreise der Eingeladenen sei im Sinne der massgeblichen Bestimmungen nicht gesichert. An der Richtigkeit dieser Einschätzung ändert auch die Tatsache nichts, dass die Beschwerdeführer, die gemäss den eingereichten Unterlagen fraglos über einen guten Leumund verfügen, die in Art. 7 Abs. 1 VEV geregelte Verpflichtungserklärung abgegeben und damit ihr Vertrauen in ein rechtskonformes Verhalten ihres Gastes zum Ausdruck gebracht haben. Bei der Risikobeurteilung ist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 Der (durchaus verständliche) Wunsch der Beschwerdeführer, ihrer in der Dominikanischen Republik lebenden Tochter/Stieftochter das Lebensumfeld in der Schweiz zeigen zu können, hat somit in den Hintergrund zu treten.</w:t>
      </w:r>
    </w:p>
    <w:p>
      <w:r>
        <w:rPr>
          <w:b/>
        </w:rPr>
        <w:t>E. 7.1</w:t>
      </w:r>
    </w:p>
    <w:p>
      <w:r>
        <w:t>Bleibt zu prüfen, ob die Voraussetzungen für die Ausstellung eines Visums mit räumlich beschränkter Gültigkeit vorliegen (vgl. E. 4.5). Ein solches kann - wie erwähnt - erteilt werden, wenn ein Mitgliedstaat es aus humanitären Gründen, aus Gründen des nationalen Interesses oder aufgrund internationaler Verpflichtungen für erforderlich hält. Die damit einhergehende Abweichung von den allgemeinen Einreisevoraussetzungen erfordert eine sorgfältige Abwägung der sich gegenüberstehenden Interessen, die nicht leichthin zur Erteilung eines auf nationales Hoheitsgebiet beschränkten Visums führen darf (vgl. BVGE 2011/48 E. 6.1).</w:t>
      </w:r>
    </w:p>
    <w:p>
      <w:r>
        <w:rPr>
          <w:b/>
        </w:rPr>
        <w:t>E. 7.2</w:t>
      </w:r>
    </w:p>
    <w:p>
      <w:r>
        <w:t>Zwar stellt der persönliche Kontakt zwischen der (volljährigen) eingeladenen Tochter und ihrer in der Schweiz lebenden Mutter eine grundsätzlich unter den Schutz von Art. 8 EMRK sowie Art. 13 Abs. 1 BV fallende familiäre Beziehung dar, auch wenn es sich nicht um die sog. "Kernfamilie" (Eltern und ihre minderjährigen Kinder) handelt. Das vermag jedoch zu keinem anderen Resultat zu führen. Denn nur Beeinträchtigungen des Familienlebens von gewisser Mindestschwere stellen rechtfertigungsbedürftige Eingriffe in die genannten Garantien dar. Ob diese Mindestschwere im vorliegenden Fall erreicht wird, erscheint unter den gegebenen Umständen als fraglich, zumal es für die Betroffenen zumutbar ist, die Pflege der familiären Beziehung - wie bis anhin - durch Besuche in der Dominikanischen Republik zu verwirklichen. Doch selbst wenn von einem rechtfertigungsbedürftigen Eingriff auszugehen wäre, handelte es sich nur um einen von eher geringfügiger Art, der durch die auf dem Spiel stehenden öffentlichen Interessen gerechtfertigt ist (Art. 8 Ziff. 2 EMRK und Art. 36 BV; vgl. Urteil des BGer 2C_190/2011 vom 23. November 2011 E. 4.3.1 sowie Urteile des BVGer C-3318/2014 vom 14. November 2014 E. 7.2 sowie C 1821/2014 vom 2. Juli 2014 E. 8.1).</w:t>
      </w:r>
    </w:p>
    <w:p>
      <w:r>
        <w:rPr>
          <w:b/>
        </w:rPr>
        <w:t>E. 7.3</w:t>
      </w:r>
    </w:p>
    <w:p>
      <w:r>
        <w:t>Die geltend gemachten privaten Interessen rechtfertigen solchermassen auch nicht, ein Visum mit räumlich beschränkter Gültigkeit auszustellen.</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werden die unterliegenden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