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C-297/2013 vom 10. März 2014</w:t>
      </w:r>
    </w:p>
    <w:p>
      <w:r>
        <w:t>Bundesverwaltungsgericht, 2014-03-10, FR</w:t>
      </w:r>
    </w:p>
    <w:p>
      <w:r>
        <w:rPr>
          <w:b/>
        </w:rPr>
        <w:t xml:space="preserve">Quelle: </w:t>
      </w:r>
      <w:r>
        <w:t>https://mcp.opencaselaw.ch/entscheid/bvger_C-297_2013</w:t>
      </w:r>
    </w:p>
    <w:p>
      <w:r>
        <w:t>FR: TAF C-297/2013 du 10 mars 2014</w:t>
      </w:r>
    </w:p>
    <w:p>
      <w:r>
        <w:t>IT: TAF C-297/2013 del 10 marzo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X._______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2013, p. 226-227, ad ch.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 3.3 La communauté conjugale telle que définie ci-dessus doit non seulement exister au moment du dépôt de la demande, mais doit subsister pendant toute la procédure jusqu'au prononcé de la décision sur la requête de naturalisation facilitée (cf. ATF 135 II précité consid. 2 et jurispr. cit.; 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w:t>
      </w:r>
    </w:p>
    <w:p>
      <w:r>
        <w:rPr>
          <w:b/>
        </w:rPr>
        <w:t>E. 4.1</w:t>
      </w:r>
    </w:p>
    <w:p>
      <w:r>
        <w:t>Conformément respectivement à l'art. 41 al. 1 et al. 1bis LN (dans sa teneur du 25 septembre 2009, en vigueur depuis le 1er mars 2011 [RO 2011 347]) et à l'art. 41 al. 1 LN (dans sa teneur initiale [RO 1952 1087]), l'ODM peut, avec l'assentiment de l'autorité du canton d'origine, annuler la naturalisation facilitée obtenue par des déclarations mensongères ou par la dissimulation de faits essentiels (cf. sur ce point arrêt du Tribunal fédéral 1C_239/2013 du 19 avril 2013 consid. 2).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voir également arrêt du Tribunal fédéral 1C_228/2011 du 6 décembre 2011 consid. 2.1.1 et jurispr. cit.).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1C_158/2011 du 26 août 2011 consid. 4.2.1 et jurispr. cit.).</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w:t>
      </w:r>
    </w:p>
    <w:p>
      <w:r>
        <w:rPr>
          <w:b/>
        </w:rPr>
        <w:t>E. 4.2.2</w:t>
      </w:r>
    </w:p>
    <w:p>
      <w:r>
        <w:t>S'agissant d'une présomption de fait, qui ressortit à l'appréciation des preuves et ne modifie pas le fardeau de la preuve (ATF 135 précité, ibid., et réf. cit.),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arrêts du Tribunal fédéral 1C_155/2012 du 26 juillet 2012 consid. 2.2.3 et 1C_158/2011 précité, consid. 4.2.2).</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25 février 2008 à X._______ a été annulée par l'ODM le 18 décembre 2012, soit avant l'échéance du délai légal, et avec l'assentiment de l'autorité compétente du canton d'origine (Vaud).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Tribunal administratif fédéral C 4903/2011 du 17 juin 2013 consid. 5).</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l'intéressée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est à relever que Z._______, selon ses déclarations, a fait connaissance de X._______ à Lausanne tantôt en 2000 (cf. p.-v. d'audition du 1er novembre 2005), tantôt au mois de juillet 2004 (cf. p.-v. d'audition du 15 mai 2012, p. 2). Selon les déclarations de la prénommée (cf. mémoire de recours, p. 3 et courriers des 14 novembre 2011 et 12 juillet 2012), elle a indiqué avoir fait la connaissance de l'intéressé dans le courant de l'année 2000 et avoir noué une relation amoureuse avec celui-ci dans le courant de l'année 2004 avant de faire ménage commun au mois de juillet 2004, soit moins de quatre mois après l'entrée en force de son jugement de divorce du 18 mars 2004 (cf. consid. A.b). Le mariage des prénommés a été célébré dans le canton de Vaud le 8 septembre 2005. X._______ a déposé, le 11 septembre 2006, soit à peine trois jours après que les conditions légales l'eurent permis, une demande de naturalisation facilitée. Le 28 janvier 2008, Z._______ et la prénommée ont signé la déclaration relative à la stabilité de leur mariage. Le 25 février 2008, la naturalisation facilitée a été octroyée à la recourante. A peine neuf mois plus tard, soit le 3 décembre 2008, l'intéressée a annoncé au Contrôle des habitants de la ville de Lausanne qu'elle avait quitté le domicile conjugal au 1er décembre 2008 et pris une nouvelle adresse. Le 9 avril 2009, les intéressés ont signé conjointement une convention sur les effets accessoires du divorce et ont déposé le 15 avril 2009 une requête commune de divorce auprès du Tribunal civil de l'arrondissement de Lausanne, lequel, par jugement du 14 octobre 2009 entré en force le 27 octobre 2009, a prononcé la dissolution du lien matrimonial. Le 14 février 2011, X._______ a contracté mariage, au Bangladesh, avec un ressortissant bangladais, puis a entrepris des démarches en vue du regroupement familial (cf. demande de visa du 14 juin 2011) et a finalement donné naissance en Suisse à un enfant commun au mois de mai 2012. Le Tribunal relève qu'entre l'octroi de la naturalisation facilitée (25 février 2008) et le départ de l'intéressée du domicile conjugal (1er décembre 2008), voire la fin de la communauté conjugale (dépôt de la demande commune en divorce [15 avril 2009]), il s'est écoulé respectivement à peine neuf mois et quatorze mois, ce qui au vu de la jurisprudence (cf. en ce sens arrêt du Tribunal fédéral 1C_172/2012 du 11 mai 2012, consid. 2.3 et jurisprudence citée), est de nature à fonder la présomption que cette naturalisation a été obtenue de manière frauduleuse.</w:t>
      </w:r>
    </w:p>
    <w:p>
      <w:r>
        <w:rPr>
          <w:b/>
        </w:rPr>
        <w:t>E. 6.3</w:t>
      </w:r>
    </w:p>
    <w:p>
      <w:r>
        <w:t>La présomption de fait fondée sur la chronologie relativement rapide des événements est corroborée au demeurant par les éléments suivants.</w:t>
      </w:r>
    </w:p>
    <w:p>
      <w:r>
        <w:rPr>
          <w:b/>
        </w:rPr>
        <w:t>E. 6.3.1</w:t>
      </w:r>
    </w:p>
    <w:p>
      <w:r>
        <w:t>Le Tribunal constate ainsi qu'à l'époque où la recourante a fait ménage commun avec Z._______ (juillet 2004), elle savait qu'elle faisait l'objet d'une enquête administrative concernant le renouvellement de son autorisation de séjour (cf. p.-v. d'audition de l'intéressée du 30 juin 2004 par la police de la ville de Lausanne). De même, avant son union avec le prénommé (8 septembre 2005), l'intéressée était sous le coup d'une décision prise le 31 décembre 2004 par l'IMES en matière de refus d'approbation à la prolongation de l'autorisation de séjour et de renvoi de Suisse, décision contre laquelle elle avait interjeté recours, radié du rôle suite à l'octroi d'une autorisation de séjour en raison de son nouveau mariage.</w:t>
      </w:r>
    </w:p>
    <w:p>
      <w:r>
        <w:rPr>
          <w:b/>
        </w:rPr>
        <w:t>E. 6.3.2</w:t>
      </w:r>
    </w:p>
    <w:p>
      <w:r>
        <w:t>Le Tribunal relève que les conditions de séjour de la recourante en Suisse à partir de 2005 n'ont été réglées que suite à son nouveau mariage contracté le 8 septembre 2005 avec un ressortissant suisse. Le fait qu'un ressortissant suisse et une ressortissante étrangère contractent mariage notamment afin de permettre au conjoint étranger d'obtenir une autorisation de séjour ne signifie pas nécessairement qu'ils n'ont pas formé une véritable union conjugale au sens de l'art. 27 al. 1 let. c LN. Cependant, dans ce contexte et in casu, la différence d'âge entre la recourante et son ex-époux plus âgé (29 ans) constitue un indice du défaut de volonté de former une véritable union conjugale (cf. en ce sens arrêt du tribunal fédéral 2C_339/2008 du 9 juin 2008 consid. 3.2). Pareille opinion est du reste corroborée par le nouveau mariage conclu par la recourante le 14 février 2011 à Dacca avec un ressortissant bangladais et la naissance de leur enfant au mois de mai 2012. A cela s'ajoute le fait que l'intéressée ne s'est jamais opposée à son divorce. En effet, les époux X._______ et Z._______ ont bien déposé une requête commune de divorce, ce qui signifie que la recourante n'a tenté de sauver son mariage ni lors de la séance de conciliation prévue durant la procédure de divorce, ni d'une quelconque autre manière. Ce défaut manifeste de volonté de sauver une union qui était prétendument encore effective et tournée vers l'avenir et cette précipitation à voir aboutir la procédure de divorce semblent bien plutôt confirmer que le couple n'avait plus l'intention de maintenir une communauté conjugale déjà durant la période précédant l'octroi de la naturalisation facilitée. Au surplus, il convient de relever la célérité avec laquelle l'intéressée a demandé à l'ODM la date à laquelle elle pouvait obtenir une naturalisation facilitée (cf. lettre du 22 décembre 2005) et le dépôt de cette requête (11 septembre 2006), soit trois jours après la date indiquée par l'office précité (cf. lettre de l'ODM du 4 janvier 2006). Un tel empressement suggère immanquablement que la recourante avait hâte d'obtenir la nationalité suisse, rendue possible par son mariage avec un citoyen de ce pays (voir en ce sens les arrêts du Tribunal fédéral 5A.22/2006 du 13 juillet 2006 consid. 4.3 et 5A.13/2004 du 16 juillet 2004 consid. 3.1).</w:t>
      </w:r>
    </w:p>
    <w:p>
      <w:r>
        <w:rPr>
          <w:b/>
        </w:rPr>
        <w:t>E. 7</w:t>
      </w:r>
    </w:p>
    <w:p>
      <w:r>
        <w:t>Conformément à la jurisprudence précitée (cf. consid. 4.2.1 et 4.2.2), il incombe à la recourante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7.1</w:t>
      </w:r>
    </w:p>
    <w:p>
      <w:r>
        <w:t>A ce propos, X._______ a d'abord allégué, dans ses observations du 14 novembre 2011, qu'au mois de janvier 2008, son couple était "encore uni et soudé", mais que son ex-époux s'était trouvé en proie à une profonde dépression qui avait nécessité son hospitalisation durant plusieurs semaines dans deux services de psychiatrie, ainsi qu'un suivi médical dans un hôpital de jour, pendant plusieurs mois, à raison de deux fois par semaine. L'intéressée a précisé avoir rendu visite à son ex-époux presque tous les jours durant son hospitalisation, mais que "l'état d'esprit de ce dernier semblait cela étant avoir changé", ce qui avait conduit à la dégradation de leurs relations, à leur séparation et au divorce. Dans son courrier du 12 juillet 2012, l'intéressée a produit un certificat médical du médecin-traitant de Z._______, dans lequel il est indiqué de manière succincte que "le patient précité présentait en 2009 une atteinte de son état de santé, dans le sens de troubles psychologiques, ayant pu modifier son comportement dans le cadre du couple", ce qui, selon la recourante, corroborait les propos de son ex-époux recueillis lors de son audition du 15 mai 2012, durant laquelle il avait confirmé qu'à partir du début de l'année 2009, il avait commencé à rencontrer des difficultés dans son couple dues à une modification de son comportement, à savoir une agressivité liée à la prise de médicaments. Dans son mémoire de recours du 18 janvier 2013 (cf. p. 3), l'intéressée a de nouveau précisé qu'au début de l'année 2009, son ex-époux présentait un comportement extrêmement agressif qui l'avait conduit à lui demander de quitter le domicile conjugal, ce qui avait ensuite entraîné le dépôt d'une requête commune de divorce. Cette version des faits ne résiste pas à l'examen, dans la mesure où les déclarations des ex-conjoints présentent des divergences notoires quant à la chronologie des faits. Ainsi, le Tribunal constate que la recourante a annoncé le 3 décembre 2008 au Contrôle des habitants de la ville de Lausanne qu'elle avait quitté le domicile conjugal au 1er décembre 2008 et pris une nouvelle adresse (cf. consid. 6.2), soit à une époque antérieure aux difficultés conjugales mentionnées ci-avant, ce qui rend sujettes à caution les déclarations de l'intéressée sur les motifs indiqués ci-dessus concernant la rupture de son union conjugale. Même si Z._______ indique que les difficultés conjugales remontent à la fin de l'année 2008, début de l'année 2009 (cf. p.-v. d'audition du 15 mai 2012, question 8), il mentionne, comme date de la séparation de fait, la fin du mois de mars 2009, voire le début de mois d'avril 2009 (cf. ibid., question 11), ce qui est contredit par l'annonce de changement d'adresse faite le 3 décembre 2008 par son ex-épouse et remet en question l'exactitude de ses propos quant à la chronologie des événements. Par ailleurs, le Tribunal relève que dans son mémoire de recours (cf. p. 6), la recourante indique que c'est à son retour au domicile conjugal au mois de mars 2008, soit après son hospitalisation, que Z._______ avait dû prendre, "dans le cadre d'un traitement du surpoids", des médicaments dont les effets secondaires avaient rendu son comportement de plus en plus agressif et incontrôlable au point qu'il avait préféré demander à l'intéressée de quitter le domicile conjugal afin de la protéger, car il commençait à devenir violent avec elle. Cependant, ces propos, certes corroborés de manière générale par les allégations de son ex-époux et d'une amie contenues dans leurs déclarations écrites du 14 janvier 2013, ne sont pas attestés par le certificat médical du 20 juin 2012, qui fait état uniquement de troubles psychologiques ayant pu modifier son comportement dans le cadre du couple en 2009, soit après le départ de l'intéressée du domicile conjugal (cf. ci-dessus). En outre, si le comportement agressif de Z._______ était uniquement dû aux effets secondaires d'un médicament pris dans le cadre de son traitement pour le surpoids (cf. mémoire de recours, p. 6), l'intéressé, qui était sous suivi médical, aurait pu en faire part à son médecin-traitant et demander un autre médicament pour éviter lesdits effets. Dès lors, il est peu plausible d'admettre que les effets secondaires de médicaments pour traiter le surpoids, tel que cela a été allégué dans le mémoire de recours du 18 janvier 2013 (et au demeurant non attesté par le médecin-traitant), constituent le facteur prépondérant et particulier ayant conduit à la désunion définitive du couple. En outre, il est à noter que la version présentée dans le mémoire de recours (cf. p. 6) est en contradiction avec la version présentée par l'intéressée avant le prononcé de la décision querellée, dans la mesure où il s'agit certes de motifs identiques, mais qui se sont déroulés à des dates différentes.</w:t>
      </w:r>
    </w:p>
    <w:p>
      <w:r>
        <w:rPr>
          <w:b/>
        </w:rPr>
        <w:t>E. 7.2</w:t>
      </w:r>
    </w:p>
    <w:p>
      <w:r>
        <w:t>En tout état de cause, il ressort du certificat médical du 19 août 2012 établi par le médecin-traitant de Z._______ que ce dernier présente une affection psychiatrique depuis plus de trente ans, avec exacerbation depuis 2007, et qu'une décompensation de son état a justifié une hospitalisation psychiatrique du 17 décembre 2007 au 11 mars 2008, soit précisément à l'époque durant laquelle la recourante et le prénommé ont contresigné la déclaration concernant leur communauté conjugale (28 janvier 2008). Dès lors, l'intéressée ne pouvait ignorer à ce moment-là l'affection psychiatrique de son époux, dont l'état s'était dégradé depuis 2007, au point d'entraîner son hospitalisation, et ne pas avoir conscience des incidences que cela allait entraîner sur sa communauté conjugale. Il faut d'ailleurs encore relever qu'elle a reconnu, dans ses déterminations du 14 novembre 2011, la portée des changements intervenus chez son époux en indiquant qu'en allant lui rendre visite presque tous les jours durant son hospitalisation, elle avait constaté que "l'état d'esprit de ce dernier semblait cela étant avoir changé" et que la relation du couple s'était dégradée.</w:t>
      </w:r>
    </w:p>
    <w:p>
      <w:r>
        <w:rPr>
          <w:b/>
        </w:rPr>
        <w:t>E. 8.1</w:t>
      </w:r>
    </w:p>
    <w:p>
      <w:r>
        <w:t>En conclusion, force est d'admettre que la recourante n'a pu rendre vraisemblable ni la survenance d'un événement extraordinaire permettant d'expliquer une dégradation rapide du lien conjugal avec son ex-époux après l'obtention de la naturalisation facilitée, ni le fait qu'elle n'avait pas conscience de la gravité des problèmes rencontrés par les conjoints aux moment où ils ont signé la déclaration du 28 janvier 2008 et où elle a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 En effet, X._______ n'a pas rendu vraisemblable que les problèmes conjugaux avec son ex-époux n'étaient survenus qu'après la décision de naturalisation facilitée, ni que ceux-ci auraient été, en quelques mois seulement, propres à influencer sa vie de couple au point de conduire au divorce, sans que les époux n'aient jamais cherché à se réconcilier et à revivre ensemble et sans mesures protectrices de l'union conjugale, ce qui amène à la conclusion que la communauté conjugale vécue par le couple ne présentait manifestement pas l'intensité et la stabilité requises au moment de la signature de la déclaration commune. Il appert ainsi de toute évidence que l'existence d'une volonté matrimoniale intacte, orientée vers l'avenir, faisait alors défaut. Les déclarations écrites de l'ex-époux et de l'amie de la recourante produites le 28 février 2013 ne permettent pas non plus d'infirmer ce qui précède, comme relevé ci-avant (cf. consid. 7.1).</w:t>
      </w:r>
    </w:p>
    <w:p>
      <w:r>
        <w:rPr>
          <w:b/>
        </w:rPr>
        <w:t>E. 8.2</w:t>
      </w:r>
    </w:p>
    <w:p>
      <w:r>
        <w:t>Au vu du déroulement chronologique des faits et des autres éléments exposés ci-dessus, le Tribunal est amené, à défaut d'éléments pertinents apportés par la recourante, à conclure que la communauté conjugale que cette dernière formait avec son époux n'était plus étroite et effective déjà au moment de la signature de la déclaration commune le 28 janvier 2008 et, à plus forte raison, au moment de l'octroi de la naturalisation, le 25 février 2008. Partant, l'ODM était parfaitement fondé à prononcer, avec l'assentiment du canton d'origine, l'annulation de cette naturalisation.</w:t>
      </w:r>
    </w:p>
    <w:p>
      <w:r>
        <w:rPr>
          <w:b/>
        </w:rPr>
        <w:t>E. 9</w:t>
      </w:r>
    </w:p>
    <w:p>
      <w:r>
        <w:t>Le Tribunal relève enfin que, s'agissant de la requête de la recourante tendant à l'audition de son ex-époux, ainsi qu'à celle d'une amie, l'état de fait pertinent apparaît suffisamment établi par les pièces des dossiers afférant à la présente cause et qu'il peut ainsi se dispenser de procéder à des mesures d'investigation complémentaires dans cette affaire (cf. ATF 136 I 229 consid. 5.3 p. 236s., ATF130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C-1721/2011 du 28 mars 2012 consid. 7 et jurisprudence citée).</w:t>
      </w:r>
    </w:p>
    <w:p>
      <w:r>
        <w:rPr>
          <w:b/>
        </w:rPr>
        <w:t>E. 10</w:t>
      </w:r>
    </w:p>
    <w:p>
      <w:r>
        <w:t>Sauf décision expresse, l'annulation fait également perdre la nationalité suisse aux membres de la famille qui l'ont acquise en vertu de la décision annulée (cf. art. 41 al. 3 LN). Il en va ainsi de l'enfant, né le 26 mai 2012, de la relation de l'intéressée avec son nouvel époux (cf. mémoire de recours , p. 3 ch. 12). A cet égard, le Tribunal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bangladaise, qui octroie la nationalité du père ou de la mère par descendance (cf. The Citizenship (Amendment) Act, 2009 [Bangladesh], Act 17 of 2009, 5 March 2009, ch. 2, site internet &lt;http://www.refworld.org/docid/4a8032182.html&gt; consulté le 13 janvier 2014) et qui ne prévoit pas de déchéance automatique de la nationalité bangladaise pour les double-nationaux (cf. ordonnance sur la nationalité No 149 du 15 décembre 1972, art. 2B (ii) in Alexander Bergmann / Murad Ferid / Dieter Henrich, Internationales Ehe- und Kindschaftsrecht mit Staatsangehörigkeitsrecht, Frankfurt am Main-Berlin 2010, Bangladesh, p. 9 et 11), que l'enfant soit menacé d'apatridie.</w:t>
      </w:r>
    </w:p>
    <w:p>
      <w:r>
        <w:rPr>
          <w:b/>
        </w:rPr>
        <w:t>E. 11</w:t>
      </w:r>
    </w:p>
    <w:p>
      <w:r>
        <w:t>Il ressort de ce qui précède que, par sa décision du 18 décembre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