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C-2967/2024 vom 5. April 2024</w:t>
      </w:r>
    </w:p>
    <w:p>
      <w:r>
        <w:t>Bundesverwaltungsgericht, 2024-04-05, FR</w:t>
      </w:r>
    </w:p>
    <w:p>
      <w:r>
        <w:rPr>
          <w:b/>
        </w:rPr>
        <w:t xml:space="preserve">Quelle: </w:t>
      </w:r>
      <w:r>
        <w:t>https://mcp.opencaselaw.ch/entscheid/bvger_C-2967_2024_d20240405</w:t>
      </w:r>
    </w:p>
    <w:p>
      <w:r>
        <w:t>FR: TAF C-2967/2024 du 5 avril 2024</w:t>
      </w:r>
    </w:p>
    <w:p>
      <w:r>
        <w:t>IT: TAF C-2967/2024 del 5 aprile 2024</w:t>
      </w:r>
    </w:p>
    <w:p>
      <w:pPr>
        <w:pStyle w:val="Heading2"/>
      </w:pPr>
      <w:r>
        <w:t>Regeste</w:t>
      </w:r>
    </w:p>
    <w:p>
      <w:r>
        <w:t>Mesures de r&amp;eacute;adaptation | Assurance invalidité, droit à des moyens auxiliaires (décision du 5 avril 2024)</w:t>
      </w:r>
    </w:p>
    <w:p>
      <w:pPr>
        <w:pStyle w:val="Heading2"/>
      </w:pPr>
      <w:r>
        <w:t>Erwägungen</w:t>
      </w:r>
    </w:p>
    <w:p>
      <w:r>
        <w:rPr>
          <w:b/>
        </w:rPr>
        <w:t>E. 1.1</w:t>
      </w:r>
    </w:p>
    <w:p>
      <w:r>
        <w:t>Le Tribunal administratif fédéral est compétent pour connaître du présent recours (art. 31, 32 et 33 let. d LTAF ; art. 69 al. 1 let. b LAI [RS 831.20]).</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1.3</w:t>
      </w:r>
    </w:p>
    <w:p>
      <w:r>
        <w:t>En l’occurrence, interjeté en temps utile (art. 20, 21,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est recevable.</w:t>
      </w:r>
    </w:p>
    <w:p>
      <w:r>
        <w:rPr>
          <w:b/>
        </w:rPr>
        <w:t>E. 2</w:t>
      </w:r>
    </w:p>
    <w:p>
      <w:r>
        <w:t>Le litige porte sur le droit du recourant à des moyens auxiliaires.</w:t>
      </w:r>
    </w:p>
    <w:p>
      <w:r>
        <w:rPr>
          <w:b/>
        </w:rPr>
        <w:t>E. 2.4</w:t>
      </w:r>
    </w:p>
    <w:p>
      <w:r>
        <w:t>; I 232/03 du 22 janvier 2004 consid. 4.2.1 et les réf. cit.).</w:t>
      </w:r>
    </w:p>
    <w:p>
      <w:r>
        <w:rPr>
          <w:b/>
        </w:rPr>
        <w:t>E. 3.1</w:t>
      </w:r>
    </w:p>
    <w:p>
      <w:r>
        <w:t>; 132 II 21 consid. 3.1 ; 129 V 485 consid. 2.3 ; 122 I 97 consid. 3a)aa ; 116 Ia 215 consid. 2c). S’agissant en particulier des décisions rendues en matière d’assurance-invalidité, le Tribunal fédéral a retenu qu’une décision d’un office AI incompétent (territorialement) n’est en règle générale, pas</w:t>
      </w:r>
    </w:p>
    <w:p>
      <w:r>
        <w:t>C-2967/2024 Page 7 nulle mais annulable (arrêts du TF 9C_891/2010 du 31 décembre 2010 consid. 2.2 et les références ; 9C_877/2013 du 11 mars 2014 consid. 5.2 ; I 232/03 du 22 janvier 2004 consid. 4.1). Toutefois, le Tribunal fédéral a également précisé que dans certains cas, l’autorité de recours peut, pour des motifs d’économie de procédure, renoncer à l’annulation de la décision de l’office AI (territorialement) incompétent et à la transmission de la cause à l’office AI (territorialement) compétent, et entrer en matière sur le fond du litige (arrêts du TF 8C_781/2010 du 15 mars 2011 consid. 2.4 ; H 289/03 du 17 février 2006 consid. 2.2 publié in SVR 2006 AHV Nr. 15 p. 56 ; I 330/02 du 19 décembre 2003 consid. 6.3). Tel est notamment le cas lorsque l’incompétence de l’office AI n’a pas été soulevée et que la cause peut être jugée au fond sur la base des pièces au dossier (arrêts du TF I 8/02 du 16 juillet 2002 consid.</w:t>
      </w:r>
    </w:p>
    <w:p>
      <w:r>
        <w:rPr>
          <w:b/>
        </w:rPr>
        <w:t>E. 3.1.3</w:t>
      </w:r>
    </w:p>
    <w:p>
      <w:r>
        <w:t>; cf. également KARL-JÜRGEN BIEBACK, in : Europäisches Sozialrecht, 8e éd., 2022, art. 17 n° 4). En outre, il sied de relever que la notion de prestations de maladie englobe les prestations en nature et en espèces (BETTINA KAHIL-WOLFF, Droit social européen, 2017, n° 689 ; BIEBACK, op. cit., art. 17 n° 2). Conformément à l’art. 1 let. vbis), i), du règlement n° 883/2004, les termes « prestations en nature » désignent aux fins du Titre III, Chapitre 1 (prestations de maladie, de maternité et de paternité assimilées), les prestations en nature prévues par la législation d’un Etat membre qui sont destinées à fournir, mettre à disposition, prendre en charge ou rembourser des soins de nature médicale et des produits et services annexes à ces soins, y compris les prestations en nature pour les soins de longue durée.</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 notamment : arrêts du Tribunal administratif fédéral C-3841/2015 du 8 janvier 2019 consid. 3.2 et 5 ; A-5658/2013 du 18 août 2014 consid. 2.2).</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3.4</w:t>
      </w:r>
    </w:p>
    <w:p>
      <w:r>
        <w:t>Selon l’art. 55 al. 1 première phrase LAI, l’office AI compétent est, en règle générale, celui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l’assurance-invalidité (RAI, RS 831.201) précise leurs compétences respectives en référence au domicile (art. 13 al. 1 LPGA) et/ou à la résidence habituelle (art. 13 al. 2 LPGA) des assurés. Aux termes de l’art. 40 al. 2 RAI,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w:t>
      </w:r>
    </w:p>
    <w:p>
      <w:r>
        <w:t>C-2967/2024 Page 6</w:t>
      </w:r>
    </w:p>
    <w:p>
      <w:r>
        <w:rPr>
          <w:b/>
        </w:rPr>
        <w:t>E. 3.5</w:t>
      </w:r>
    </w:p>
    <w:p>
      <w:r>
        <w:t>En l’espèce, le recourant est domicilié en France et n’a jamais travaillé en Suisse (OAI-B._______ pce 2). Selon le contrat d’apprentissage en école de métiers du 20 mai 2022, l’intéressé est inscrit auprès du centre de formation C._______, à (…), pour suivre un apprentissage de graphiste durant quatre années (OAI-B._______ pce 5). Ce contrat stipule que la filière de l’intéressé implique un ou plusieurs stage(s) en entreprise et que le futur employeur conclura un contrat de stage avec l’apprenti. Selon le site internet de cette école, il est indiqué que ce soit en formation plein- temps (à l’école) ou duale (en entreprise), toutes les filières métiers du centre de formation C._______ sont considérées comme des apprentissages (cf. https://C._______/, consulté le 14 novembre 2024). Dans sa correspondance du 21 mars 2024, le recourant a indiqué que sa formation s’effectue à plein temps à l’école et que les stages s’effectuent durant la troisième et quatrième année, lesquels ne sont généralement pas rémunérés. En outre, l’intéressé déclare que son contrat de formation lui interdit d’exercer une activité lucrative et que venant d’avoir sa majorité, il n’aurait pas pu travailler avant cette formation puisque cela aurait été illégal (OAI-B._______ pce 9). Compte tenu du domicile à l’étranger de l’intéressé et l’absence d’activité lucrative à (…), l’OAI-B._______ n’était pas compétent pour procéder à l’enregistrement et à l’instruction de la demande du 18 janvier 2024 du recourant. Cette compétence revenait in casu à l’OAIE. S’agissant de la notification de la décision litigieuse, c’est à juste titre qu’elle a été notifiée par l’OAIE (cf. consid. 3.4). Il s’ensuit que l’instruction a été menée par une autorité incompétente (territorialement) et que la décision litigieuse qui en résulte est viciée.</w:t>
      </w:r>
    </w:p>
    <w:p>
      <w:r>
        <w:rPr>
          <w:b/>
        </w:rPr>
        <w:t>E. 4.1</w:t>
      </w:r>
    </w:p>
    <w:p>
      <w:r>
        <w:t>La nullité d’une décision doit être examinée d’office et peut l’être en tout temps et devant toute autorité (ATF 133 II 366 consid. 3.1).</w:t>
      </w:r>
    </w:p>
    <w:p>
      <w:r>
        <w:rPr>
          <w:b/>
        </w:rPr>
        <w:t>E. 4.2</w:t>
      </w:r>
    </w:p>
    <w:p>
      <w:r>
        <w:t>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w:t>
      </w:r>
    </w:p>
    <w:p>
      <w:r>
        <w:rPr>
          <w:b/>
        </w:rPr>
        <w:t>E. 4.3</w:t>
      </w:r>
    </w:p>
    <w:p>
      <w:r>
        <w:t>L’incompétence de l’OAI-B._______ n’a été soulevée par aucune des parties à la procédure. Par ailleurs, le Tribunal constate que la cause est en état d’être jugée sur la base des pièces figurant au dossier. Il n’y a dès lors pas lieu d’annuler la décision pour ce motif.</w:t>
      </w:r>
    </w:p>
    <w:p>
      <w:r>
        <w:rPr>
          <w:b/>
        </w:rPr>
        <w:t>E. 5.1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(b). L’art. 8 al. 3 let. d LAI indique que les mesures de réadaptation comprennent notamment l’octroi de moyens auxiliaires.</w:t>
      </w:r>
    </w:p>
    <w:p>
      <w:r>
        <w:rPr>
          <w:b/>
        </w:rPr>
        <w:t>E. 5.2</w:t>
      </w:r>
    </w:p>
    <w:p>
      <w:r>
        <w:t>Conformément à l’art. 9 al. 1bis LAI, le droit aux mesures de réadaptation prend naissance au plus tôt au moment de l’assujettissement à l’assurance obligatoire ou facultative et s’éteint au plus tard à la fin de cet assujettissement.</w:t>
      </w:r>
    </w:p>
    <w:p>
      <w:r>
        <w:rPr>
          <w:b/>
        </w:rPr>
        <w:t>E. 5.3</w:t>
      </w:r>
    </w:p>
    <w:p>
      <w:r>
        <w:t>Il résulte tant de l’art. 8 al. 1 LAI que de l’art. 9 al. 1bis LAI qu’une personne doit être assurée pour pouvoir bénéficier de mesures de réadaptation. Conformément à l’art. 9 al. 1bis LAI, dès que la personne concernée n’est plus couverte par l’assurance obligatoire ou facultative, son droit aux prestations s’éteint ; elle perd donc son droit aux mesures de réadaptation en même temps qu’elle cesse d’être assurée au sens de</w:t>
      </w:r>
    </w:p>
    <w:p>
      <w:r>
        <w:t>C-2967/2024 Page 8 l’art. 1b LAI en relation avec les art. 1a et 2 LAVS (RS 831.10). En d’autres termes, la condition d'assurance doit être réalisée dès et aussi longtemps que la personne concernée entend bénéficier de mesures de réadaptation (MICHEL VALTERIO, Commentaire, Loi fédérale sur l’assurance-invalidité [LAI], 2018, art. 9 n°11).</w:t>
      </w:r>
    </w:p>
    <w:p>
      <w:r>
        <w:rPr>
          <w:b/>
        </w:rPr>
        <w:t>E. 5.4</w:t>
      </w:r>
    </w:p>
    <w:p>
      <w:r>
        <w:t>Selon l’art. 1b LAI, sont assurées conformément à la LAI les personnes qui sont assurées à titre obligatoire ou à titre facultatif en vertu des art. 1a et 2 LAVS. Sous réserve des exemptions prévues à l’art. 1a al. 2 LAVS, sont obligatoirement assurées à l’AVS les personnes physiques domiciliées en Suisse (art. 1a al. 1 let. a LAVS), celles qui y exercent une activité lucrative (art. 1a al. 1 let. b LAVS) ainsi que les ressortissants suisses qui travaillent à l’étranger : au services de la Confédération (art. 1a al. 1 let. c ch. 1 LAVS) ; au service d’organisations internationales avec lesquelles le Conseil fédéral a conclu un accord de siège et qui sont considérées comme employeurs au sens de l’art. 12 LAVS (art. 1a al. 1 let. c ch. 2 LAVS) ; au service d’organisations d’entraide privées soutenues de manière substantielle par la Confédération en vertu de l’art. 11 de la loi fédérale du 19 mars 1976 sur la coopération au développement et l’aide humanitaire internationale (art. 1a al. 1 let. c ch. 3 LAVS).</w:t>
      </w:r>
    </w:p>
    <w:p>
      <w:r>
        <w:rPr>
          <w:b/>
        </w:rPr>
        <w:t>E. 5.5</w:t>
      </w:r>
    </w:p>
    <w:p>
      <w:r>
        <w:t>En outre, les ressortissants suisses et les ressortissants des Etats membres de l’UE ou de l’Association européenne de libre-échange (AELE) vivant dans un Etat non membre de l’UE ou de l’AELE qui cessent d’être soumis à l’assurance obligatoire après une période d’assurance ininterrompue d’au moins cinq ans peuvent adhérer à l’assurance facultative (art. 2 al. 1 LAVS).</w:t>
      </w:r>
    </w:p>
    <w:p>
      <w:r>
        <w:rPr>
          <w:b/>
        </w:rPr>
        <w:t>E. 5.6</w:t>
      </w:r>
    </w:p>
    <w:p>
      <w:r>
        <w:t>Une personne qui n’est pas ou n’est plus assujettie à l’assurance a toutefois droit aux mesures de réadaptation jusqu’à l’âge de 20 ans au plus si l’un de ses parents est assuré facultativement ou est assuré obligatoirement pour une activité professionnelle exercée à l’étranger conformément à l’art. 1a al. 1 let. c et al. 3 let. a LAVS ou en vertu d’une convention internationale (cf. art. 9 al. 2 LAI).</w:t>
      </w:r>
    </w:p>
    <w:p>
      <w:r>
        <w:rPr>
          <w:b/>
        </w:rPr>
        <w:t>E. 6.1</w:t>
      </w:r>
    </w:p>
    <w:p>
      <w:r>
        <w:t>En l’occurrence, il ressort du dossier que le recourant est en formation en Suisse, n’a jamais travaillé et est domicilié en France. Selon les informations au dossier, les parents de l’intéressé sont également domiciliés en France (cf. OAI-B._______ pce 5). En outre, l’intéressé a déclaré qu’auparavant, son père avait travaillé en Suisse et</w:t>
      </w:r>
    </w:p>
    <w:p>
      <w:r>
        <w:t>C-2967/2024 Page 9 qu’actuellement, sa mère serait au bénéfice d’une rente d’invalidité et son père n’exercerait aucune activité lucrative (TAF pce 1).</w:t>
      </w:r>
    </w:p>
    <w:p>
      <w:r>
        <w:rPr>
          <w:b/>
        </w:rPr>
        <w:t>E. 6.2</w:t>
      </w:r>
    </w:p>
    <w:p>
      <w:r>
        <w:t>Il est, en l’espèce, patent et incontesté que le recourant ne remplit pas les conditions d’assujettissement des art. 1a et 2 LAVS, à défaut de domicile ou d’activité lucrative en Suisse et qu’il n’est dès lors pas assuré à l’assurance-invalidité suisse au sens de l’art. 1b LAI. Par conséquent, l’exigence posée à l’art. 9 al. 1bis LAI, soit l’assujettissement à l’assurance dès et aussi longtemps qu’il fait appel aux mesures de réadaptation, n’est pas remplie non plus. Enfin, les circonstances décrites par l’intéressé dans son recours et sa réplique n’y changent rien. Il n’est pas nécessaire d’entrer ici dans les détails invoqués, car ils ne sont finalement pas pertinents compte tenu de la situation juridique claire en ce qui concerne les conditions d'assurance selon l'art. 9 al. 1bis LAI.</w:t>
      </w:r>
    </w:p>
    <w:p>
      <w:r>
        <w:rPr>
          <w:b/>
        </w:rPr>
        <w:t>E. 6.3</w:t>
      </w:r>
    </w:p>
    <w:p>
      <w:r>
        <w:t>En conclusion, c’est à raison que l’autorité inférieure a considéré que le recourant ne pouvait prétendre à des prestations de l’AI sur la base de la législation suisse.</w:t>
      </w:r>
    </w:p>
    <w:p>
      <w:r>
        <w:rPr>
          <w:b/>
        </w:rPr>
        <w:t>E. 7.1</w:t>
      </w:r>
    </w:p>
    <w:p>
      <w:r>
        <w:t>Il reste à déterminer si le recourant peut fonder son droit aux prestations sur le droit international. L’intéressé étant de nationalité suisse et résidant en France, le fait qu’il ne puisse prétendre à des mesures de réadaptation au regard du droit suisse n’exclut pas qu’il puisse malgré tout prétendre à de telles prestations de la part de l’AI suisse en vertu du droit européen de coordination de la sécurité sociale.</w:t>
      </w:r>
    </w:p>
    <w:p>
      <w:r>
        <w:rPr>
          <w:b/>
        </w:rPr>
        <w:t>E. 7.2</w:t>
      </w:r>
    </w:p>
    <w:p>
      <w:r>
        <w:t>L’accord du 21 juin 1999 entre la Suisse et la Communauté européenne et ses Etats membres sur la circulation des personnes (ALCP, RS 0.142.112.681) est entré en vigueur le 1er juin 2002. A cette date sont également entrés en vigueur son annexe II (fondée sur l’art. 8 ALCP et faisant partie intégrante de l’ALCP [art. 15]),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(ci-après : règlement n°1408/71 ; RO 2004 121), et le règlement (CEE) n° 574/72 du Conseil du 21 mars 1972 relatif à l’application du règlement (CEE) n° 1408/71 (RO 2005 3909).</w:t>
      </w:r>
    </w:p>
    <w:p>
      <w:r>
        <w:t>C-2967/2024 Page 10 L’annexe II de l’ALCP a été modifié au 1er avril 2012 (Décision 1/2012 du Comité mixte du 31 mars 2012 ; RO 2012 2345). Depuis cette date, il fait référence au règlement (CE) n° 883/2004 du Parlement européen et du Conseil du 29 avril 2004 portant sur la coordination des systèmes de sécurité sociale (ci-après : règlement n° 883/2004, RS 0.831.109.268.1), ainsi qu’au règlement (CE) n° 987/2009 du Parlement européen et Conseil du 16 septembre 2009 fixant les modalités d’application du règlement n° 883/2004 portant sur la coordination des systèmes de sécurité sociale (ci-après : règlement n° 987/2009 ; RS 0.831.109.268.11 ; voir art. 80a LAI et 95a LAMal [RS 832.10]). Les règlements précités ont en commun qu'ils sont directement applicables et priment le droit interne. En revanche, ils ne modifient pas la législation (matérielle) interne. Ils ne font que coordonner les systèmes nationaux en désignant le droit applicable (FRÉSARD-FELLAY/KAHIL-WOLFF/PERRENOUD, Droit suisse de la sécurité sociale, vol. II, 2015, p. 593).</w:t>
      </w:r>
    </w:p>
    <w:p>
      <w:r>
        <w:rPr>
          <w:b/>
        </w:rPr>
        <w:t>E. 7.3</w:t>
      </w:r>
    </w:p>
    <w:p>
      <w:r>
        <w:t>Le champ d’application matériel du règlement n° 883/2004 est déterminé à l’art. 3 par. 1, aux termes duquel le règlement s’applique à toutes les législations relatives aux branches de sécurité sociale qui concerne : a. les prestations de maladie, b. les prestations de maternité et paternité assimilées, c. les prestations d’invalidité, d. les prestations de vieillesse, e. les prestations de survivants, f. les prestations en cas d’accidents du travail et de maladies professionnelles, g. les allocations de décès, h. les prestations de chômage, i. les prestations de préretraite et j. les prestations familiales.</w:t>
      </w:r>
    </w:p>
    <w:p>
      <w:r>
        <w:rPr>
          <w:b/>
        </w:rPr>
        <w:t>E. 7.3.1</w:t>
      </w:r>
    </w:p>
    <w:p>
      <w:r>
        <w:t>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(ATF 144 V 2 consid. 5.2 et les réf. cit.).</w:t>
      </w:r>
    </w:p>
    <w:p>
      <w:r>
        <w:t>C-2967/2024 Page 11 En l’occurrence, la mesure de réadaptation relative à l’octroi de moyens auxiliaires constitue une prestation de sécurité sociale au sens de l’art. 3 par. 1 du règlement n° 883/2004 puisqu'elle est allouée en fonction de critères objectivement définis par la législation suisse (cf. consid. 5.1).</w:t>
      </w:r>
    </w:p>
    <w:p>
      <w:r>
        <w:rPr>
          <w:b/>
        </w:rPr>
        <w:t>E. 7.3.2</w:t>
      </w:r>
    </w:p>
    <w:p>
      <w:r>
        <w:t>Il reste à déterminer s'il est possible d'établir un lien suffisant entre cette mesure et l'un des risques mentionnés à l'art. 3 par. 1 du règlement n° 883/2004. La jurisprudence a confirmé que les moyens auxiliaires relèvent des prestations de maladie au sens de l’art. 3 par. 1 let. a du règlement n°883/2004, tout comme sous l’égide de l’art. 4 par. 1 let. a du règlement n°1408/71, dont l’art. 3 du règlement n°883/2004 reprend pour l’essentiel le contenu et la structure, et en particulier même si ces moyens auxiliaires se fondent, en droit national, sur l’assurance-invalidité ou l’assurance-vieillesse et survivants et non sur l’assurance-maladie obligatoire (ATF 132 V 46 consid. 3.2.3 ; arrêt du TF 9C_415/2008 du 3 avril 2009 consid. 2 et 3.3 et les réf. cit. ; TAF C-360/2023 du 26 octobre 2023 consid.</w:t>
      </w:r>
    </w:p>
    <w:p>
      <w:r>
        <w:rPr>
          <w:b/>
        </w:rPr>
        <w:t>E. 7.3.3</w:t>
      </w:r>
    </w:p>
    <w:p>
      <w:r>
        <w:t>Le champ d’application personnel du règlement n° 883/2004 est explicité à son art. 2. Le premier paragraphe de l’art. 2 prévoit ainsi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 considéré renvoyer, en plus des Etats membres de l’UE,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w:t>
      </w:r>
    </w:p>
    <w:p>
      <w:r>
        <w:t>C-2967/2024 Page 12 personne concernée, s’agissant en particulier des ressortissants de l’un des Etats membres (BERNARD SPIEGEL, in : Europäisches Sozialrecht, 8e éd. 2022, art. 2 n°2).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FRÉSARD-FELLAY/KAHIL- WOLFF/PERRENOUD, op. cit., p. 607 ; KAHIL-WOLFF, op. cit., n° 573 ss).</w:t>
      </w:r>
    </w:p>
    <w:p>
      <w:r>
        <w:rPr>
          <w:b/>
        </w:rPr>
        <w:t>E. 7.3.4</w:t>
      </w:r>
    </w:p>
    <w:p>
      <w:r>
        <w:t>Le Titre II du règlement n°883/2004 met en place un système de coordination des différents régimes nationaux de sécurité sociale (art. 11 à 16), des règles relatives à la détermination de la législation applicable aux travailleurs qui se déplacent à l'intérieur des Etats membres. Celles-ci tendent notamment à ce que les personnes concernées soient soumises au régime de la sécurité sociale d'un seul Etat membre, de sorte que les cumuls (partiel ou total) des législations nationales applicables et les complications qui peuvent en résulter soient évités. Ce principe de l'unicité de la législation applicable trouve son expression, en particulier, à l'art. 11 par. 1 du règlement n° 883/2004 qui dispose que les personnes auxquelles le présent règlement est applicable ne sont soumises qu'à la législation d'un seul Etat membre (ATF 142 V 192 consid. 3.1). Les règles de caractère général qui figurent sous le Titre II du règlement n° 883/2004 ne s’appliquent cependant que dans la mesure où les dispositions particulières aux différentes catégories de prestations qui constituent le Titre III dudit règlement n’y apportent pas une dérogation (ATF 146 V 290 consid. 3.1).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w:t>
      </w:r>
    </w:p>
    <w:p>
      <w:r>
        <w:t>C-2967/2024 Page 13</w:t>
      </w:r>
    </w:p>
    <w:p>
      <w:r>
        <w:rPr>
          <w:b/>
        </w:rPr>
        <w:t>E. 7.3.5</w:t>
      </w:r>
    </w:p>
    <w:p>
      <w:r>
        <w:t>Selon les déclarations de l’intéressé, celui-ci serait assuré en Suisse pour l’assurance-maladie obligatoire et sa mère serait au bénéfice d’une rente d’invalidité suisse et domiciliée en France. En outre, le recourant déclare que son père aurait cotisé en Suisse durant des années « avant de décider de ne plus rien faire le concernant il y a plus de deux ans ». Enfin, le recourant indique que l’assurance-maladie a refusé de prendre en charge la location de sa chaise roulante depuis la fin du mois d’octobre 2023 (correspondance du 21 mars 2024 de l’intéressé [OAI-B._______ pce 9]).</w:t>
      </w:r>
    </w:p>
    <w:p>
      <w:r>
        <w:rPr>
          <w:b/>
        </w:rPr>
        <w:t>E. 7.3.6</w:t>
      </w:r>
    </w:p>
    <w:p>
      <w:r>
        <w:t>Il résulte de ce qui précède que le recourant, qui est sans activité lucrative, n’entre pas dans les catégories des personnes visées à l’art. 11 par. 3 let. a à d du règlement n° 883/2004, mais dans celle prévue à la let. e, qui prévoit le principe de l’affiliation au lieu de résidence. Ainsi, du fait de son domicile en France, l’intéressé est, sous réserve des dispositions spéciales du règlement en matière de prestations de maladie figurant au chapitre 1 du Titre III, soumis par le droit de coordination à la législation française, laquelle lui est donc applicable pour toutes les branches d’assurance sociale – excepté l’assurance-maladie, dans la mesure où l’intéressé est assuré – selon ses déclarations –, pour cette branche d’assurance sociale, auprès d’un assureur-maladie suisse. En ce qui concerne les parents du recourant, celui-ci a déclaré que ses parents ne cotisaient plus à l’assurance-invalidité suisse dès lors que son père ne travaillait plus en Suisse depuis quelques années et que sa mère bénéficiait d’une rente d’invalidité suisse. A cet égard, il sied de préciser que le fait de bénéficier d’une rente d’invalidité n’entraîne pas le maintien de la qualité d’assurée (cf. ATF 132 V 244 consid. 4.3.2). Ainsi, à l’instar de l’intéressé, ses parents n’entrent pas non plus dans les catégories des personnes visées à l’art. 11 par. 3 let. a à d du règlement n° 883/2004, mais dans celle prévue à la let. e. Le recourant ne peut donc déduire du droit européen de coordination et de l’application du règlement n° 883/2004 un rattachement à la législation suisse sur l’AI.</w:t>
      </w:r>
    </w:p>
    <w:p>
      <w:r>
        <w:rPr>
          <w:b/>
        </w:rPr>
        <w:t>E. 7.3.7</w:t>
      </w:r>
    </w:p>
    <w:p>
      <w:r>
        <w:t>En ce qui concerne la réglementation spécifique du Titre III, Chapitre 1 – relatif aux prestations de maladie, de maternité et de paternité assimilées –, Section 1 – relative aux personnes assurées et aux membres de leur famille, à l’exception des titulaires de pension et des membres de leur famille – et Section 2 – Titulaires de pension et membres de leur famille du règlement n° 883/2004, il sied de relever que quand bien même, en vertu de ces dispositions réglementaires, la législation applicable s’avérerait être le droit suisse et l’institution compétente, l’institution suisse, il reviendrait à l’assurance-maladie suisse d’intervenir – pour autant que</w:t>
      </w:r>
    </w:p>
    <w:p>
      <w:r>
        <w:t>C-2967/2024 Page 14 l’intéressé soit affilié à cette assurance comme il l’allègue – et non pas à la LAI. En effet, en cas d’application du droit suisse, il conviendrait de déterminer si le recourant peut prétendre à la prestation requise en application de la LAI et d’examiner s’il remplit les conditions d’assujettissement (comp. ATF 132 V 46 concernant un litige portant sur la prise en charge par l'AVS de chaussures orthopédiques pour un retraité résidant dans un Etat membre de l'UE ; l'arrêt ayant nié cette obligation). Or, cet examen a déjà permis de constater que l’intéressé ne remplissait pas ces conditions (cf. consid. 6.2) dès lors qu’il n’est pas domicilié en Suisse et n’y exerce aucune activité lucrative.</w:t>
      </w:r>
    </w:p>
    <w:p>
      <w:r>
        <w:rPr>
          <w:b/>
        </w:rPr>
        <w:t>E. 7.3.8</w:t>
      </w:r>
    </w:p>
    <w:p>
      <w:r>
        <w:t>Ainsi, le recourant ne peut déduire aucun droit à des mesures de réadaptation, en particulier de moyens auxiliaires, de l’assurance-invalidité suisse en vertu du règlement n° 883/2004.</w:t>
      </w:r>
    </w:p>
    <w:p>
      <w:r>
        <w:rPr>
          <w:b/>
        </w:rPr>
        <w:t>E. 8</w:t>
      </w:r>
    </w:p>
    <w:p>
      <w:r>
        <w:t>Au vu de tout ce qui précède, il appert que le recourant ne peut prétendre à la prise en charge par l’AI suisse des moyens auxiliaires. C’est dès lors à juste titre que l’autorité inférieure a rejeté la demande de l’intéressé par décision du 5 avril 2024. Partant, le recours doit être rejeté, et la décision du 5 avril 2024 confirmée.</w:t>
      </w:r>
    </w:p>
    <w:p>
      <w:r>
        <w:rPr>
          <w:b/>
        </w:rPr>
        <w:t>E. 9</w:t>
      </w:r>
    </w:p>
    <w:p>
      <w:r>
        <w:t>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w:t>
      </w:r>
    </w:p>
    <w:p>
      <w:r>
        <w:t>C-2967/2024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