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C-2966/2011 vom 3. Juli 2013</w:t>
      </w:r>
    </w:p>
    <w:p>
      <w:r>
        <w:t>Bundesverwaltungsgericht, 2013-07-03, FR</w:t>
      </w:r>
    </w:p>
    <w:p>
      <w:r>
        <w:rPr>
          <w:b/>
        </w:rPr>
        <w:t xml:space="preserve">Quelle: </w:t>
      </w:r>
      <w:r>
        <w:t>https://mcp.opencaselaw.ch/entscheid/bvger_C-2966_2011</w:t>
      </w:r>
    </w:p>
    <w:p>
      <w:r>
        <w:t>FR: TAF C-2966/2011 du 3 juillet 2013</w:t>
      </w:r>
    </w:p>
    <w:p>
      <w:r>
        <w:t>IT: TAF C-2966/2011 del 3 luglio 2013</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 Il s'ensuit que le droit à une rente de l'assurance-invalidité doit être examiné en l'espèce au regard de la LAI et de son ordonnance d'exécution dans leur teneur en vigueur jusqu'au 31 décembre 2011 (modifications introduites par la novelle du 6 octobre 2006 [5e révision], entrées en vigueur le 1er janvier 2008 [RO 2007 5129]), les dispositions de la 6e révision (premier volet) en vigueur depuis le 1er janvier 2012 (RO 2011 5659; FF 2010 1647) n'étant pas applicables.</w:t>
      </w:r>
    </w:p>
    <w:p>
      <w:r>
        <w:rPr>
          <w:b/>
        </w:rPr>
        <w:t>E. 3</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En l'espèce, la recourante a versé des cotisations à l'AVS/AI pendant plus de trois ans au total (OAIE pce 110) et remplit donc la condition de la durée minimale de cotisations. Il reste donc à examiner si elle est invalide au sens de la LAI.</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art.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Ainsi le taux d'invalidité d'une personne exerçant une activité lucrative est fixé d'après la comparaison des revenus prévue par l'art. 16 LPGA (méthode générale).</w:t>
      </w:r>
    </w:p>
    <w:p>
      <w:r>
        <w:rPr>
          <w:b/>
        </w:rPr>
        <w:t>E. 4.2</w:t>
      </w:r>
    </w:p>
    <w:p>
      <w:r>
        <w:t>Selon l'art. 8 al. 3 LPGA et 5 al. 1 LAI, les assurés majeurs qui n'exerçaient pas d'activité lucrative avant d'être atteints dans leur santé physique, mentale ou psychique, telles les personnes s'occupant du ménage, et dont il ne peut être exigé qu'ils en exercent une, sont réputés invalides si l'atteinte les empêche d'accomplir leurs travaux habituels, telles les tâches domestiques (méthode spécifique; art. 28a al. 2 LAI, art. 27 du règlement du 17 janvier 1961 sur l'assurance-invalidité [RAI, RS 831.201]). L'appréciation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du rendement fonctionnel dans l'accomplissement des travaux habituels.</w:t>
      </w:r>
    </w:p>
    <w:p>
      <w:r>
        <w:rPr>
          <w:b/>
        </w:rPr>
        <w:t>E. 4.3</w:t>
      </w:r>
    </w:p>
    <w:p>
      <w:r>
        <w:t>Si l'assuré exerçait une activité lucrative à temps partiel ou une activité sans être rémunéré dans l'entreprise du conjoint parallèlement à l'accomplissement de travaux habituels, il convient de pondérer les deux méthodes (méthodes générale et spécifique) en fonction du temps alors attribué à chacune des activités précitées (méthode mixte; art. 28a al. 3 RAI; sur la conformité au droit de cette méthode, arrêt de principe du Tribunal fédéral 9C_790/2010 du 8 juillet 2011; ATF 125 V 146). Le taux d'invalidité est calculé d'après le handicap dont la personne est affectée dans les deux domaines d'activité.</w:t>
      </w:r>
    </w:p>
    <w:p>
      <w:r>
        <w:rPr>
          <w:b/>
        </w:rPr>
        <w:t>E. 4.4</w:t>
      </w:r>
    </w:p>
    <w:p>
      <w:r>
        <w:t>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 respectivement une incapacité à accomplir les travaux habituels pour les assurés n'exerçant pas d'activité lucrative et dont on ne peut exiger qu'ils le fassent.</w:t>
      </w:r>
    </w:p>
    <w:p>
      <w:r>
        <w:rPr>
          <w:b/>
        </w:rPr>
        <w:t>E. 5</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 En outre,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ainsi se limiter à examiner si la recourante remplissait les conditions d'octroi d'une rente le 14 juillet 2010 au plus tôt (six mois après le dépôt de la demande) ou entre cette date et le 9 mai 2011, date de la décision attaquée marquant la limite dans le temps du pouvoir d'examen de l'autorité de recours (ATF 129 V 1 consid. 2.1 et les références).</w:t>
      </w:r>
    </w:p>
    <w:p>
      <w:r>
        <w:rPr>
          <w:b/>
        </w:rPr>
        <w:t>E. 6</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ch. 2.2.6.5).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w:t>
      </w:r>
    </w:p>
    <w:p>
      <w:r>
        <w:rPr>
          <w:b/>
        </w:rPr>
        <w:t>E. 7</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w:t>
      </w:r>
    </w:p>
    <w:p>
      <w:r>
        <w:t>La recourante soutient ne plus être capable de travailler depuis septembre 2007, suite l'infarctus du myocarde. L'OAIE estime au contraire que la recourante peut, au moins depuis décembre 2007, exercer son ancienne activité de secrétaire ou toute autre activité n'exigeant pas le port de charges de plus de 10 kg.</w:t>
      </w:r>
    </w:p>
    <w:p>
      <w:r>
        <w:rPr>
          <w:b/>
        </w:rPr>
        <w:t>E. 9.1</w:t>
      </w:r>
    </w:p>
    <w:p>
      <w:r>
        <w:t>Il ressort des pièces au dossier que la recourante a été hospitalisée une première fois du 21 au 26 décembre 2001, hospitalisation suivie d'un séjour en clinique du 4 janvier au 13 février 2002, et qu'elle souffrait alors d'un syndrome dépressif avec idées suicidaires sur personnalité pathologique dépendante avec composante masochiste, associé à un éthylisme aigu (OAIE pces 77, 84, 8, 12). Puis ont eu lieu trois autres hospitalisations les 29 et 30 avril 2002, également suivie par un séjour en clinique du 11 mai au 8 juin 2002, le 2 décembre 2003 et du 26 novembre au 13 décembre 2004, en raison de tentatives de suicide médicamenteuses associées à un alcoolisme chronique, le rapport médical concernant la dernière hospitalisation faisant état d'une dépression récurrente avec épisode dépressif majeur associé à de l'alcoolisme (OAIE pces 71, 85, 13, 86). Il est encore mentionné, par la suite, en décembre 2007, dans un rapport du Dr P._______, cardiologue (OAIE pce 101), des troubles mentaux et des troubles du comportement liés à l'utilisation d'alcool et de tabac ainsi qu'un épisode dépressif sévère sans symptômes psychotiques, diagnostics associés au diagnostic principal de dépolarisation ventriculaire prématurée. Au niveau somatique précisément, il s'avère que la recourante a été victime d'un infarctus du myocarde en septembre 2007, suite auquel elle a subi une angioplastie coronaire, également en septembre 2007 (OAIE pces 87, 88, 94, 90, 92). Puis en novembre et décembre 2007, des troubles du rythme ventriculaire ont été observés, nécessitant une hospitalisation, suivie d'examens en décembre 2007, le Dr P._______ posant alors le diagnostic de dépolarisation ventriculaire prématurée et observant une hypokinésie septo-apicale (OAIE pces 98 à 103). Par la suite, et bien que la recourante ait déposé sa demande de prestations en janvier 2010, la situation médicale est bien moins documentée, puisque seules deux pièces datant d'après décembre 2007 ont été versées au dossier, soit le document provenant du dossier de la recourante auprès de l'Echelon Local du Service Médical de V. rapportant diverses observations médicales faites entre le 20 janvier 2009 et le 1er avril 2010 (OAIE pce 75) et le rapport E 213 du 1er mars 2010 (OAIE pce 76), lequel mentionne uniquement le diagnostic d'infarctus. Se fondant sur les documents précités, le Dr S._______, dans ses prises de position des 31 janvier et 14 avril 2011 (OAIE pces 82, 106), a retenu le diagnostic principal de status après infarctus du myocarde et le diagnostic secondaire sans répercussion sur la capacité de travail d'alcoolisme chronique avec dépression.</w:t>
      </w:r>
    </w:p>
    <w:p>
      <w:r>
        <w:rPr>
          <w:b/>
        </w:rPr>
        <w:t>E. 9.2</w:t>
      </w:r>
    </w:p>
    <w:p>
      <w:r>
        <w:t>Or, il s'avère d'une part, au vu de ce qui précède, que la plupart des rapports médicaux produits, principalement constitués de comptes-rendus d'hospitalisation ou d'examens plutôt succincts, datent des années 2001 à 2007 et témoignent donc de l'état de santé de l'intéressée ou des événements médicaux survenus durant ces années-là. Il appert d'autre part que le rapport E 213, plus récent, a été établi par la Dresse Q._______, médecin conseil du Service Médical de l'Assurance Maladie à U., en France, laquelle n'a toutefois pas examiné elle-même l'intéressée, l'examen ayant été effectué le 14 janvier 2010 par le Dr R._______, dont on ne connaît pas, en particulier, la spécialisation; par ailleurs, ce rapport, peu détaillé, ne contient que très peu d'éléments, tant au niveau psychologique qu'au niveau somatique, ce qui ressort également des remarques du Dr S._______ au sujet de ce rapport dans sa prise de position du 31 janvier 2011; enfin, au regard des antécédents médicaux de la recourante et alors qu'il est fait état de symptômes d'anxiété, d'insomnie et de tachycardie, la Dresse Q._______ n'explique pas, notamment, comment les atteintes à la santé de la recourante ont évolué et pourquoi seul le diagnostic d'infarctus est retenu. Quant au document provenant du dossier de l'Echelon Local du Service Médical de V., s'il ne constitue pas un rapport de médecin et ne saurait suffire à établir avec pertinence l'état de santé de la recourante entre le 20 janvier 2009 et le 1er avril 2010, dans la mesure où il ne fait que reprendre et énumérer de façon sommaire, sur une page, les traitements médicamenteux suivis par l'intéressée et les observations de différents médecins, il en ressort cependant que durant la période à laquelle il se réfère, certains troubles ont été constatés, en lien avec lesquels des arrêts de travail sont mentionnés. Ce document rapporte en effet, à la date du 4 août 2009 par exemple, une patiente très déséquilibrée au point de vue affectif, une anxiété avec manifestations somatiques, des insomnies et tachycardies, une tension artérielle instable, des douleurs thoraciques et surtout des crises d'alcoolisation, ainsi qu'une hospitalisation récente pour ivresse aigue majeure; il mentionne également une ordonnance du 3 novembre 2009 prescrivant des médicaments agissant en particulier contre la dépression, l'anxiété, les troubles du sommeil, la dépendance à l'alcool, contre les récidives de maladies cardiovasculaire et l'hypertension artérielle. Or, ces éléments n'ont donné lieu à aucune investigation de la part de l'administration, le Dr S._______, qui, spécialiste en médecine interne générale, n'est ni cardiologue, ni psychiatre et qui n'a pas examiné la recourante, se contentant sur la base de ces documents d'indiquer qu'il n'est pas fait état, ni dans le rapport E 213, ni dans le document provenant du dossier de l'Echelon Local du Service Médical de V., d'une angine de poitrine, d'insuffisance cardiaque ou de troubles du rythme, et que le problème d'alcool associé à la dépression n'est pas constitutif d'invalidité, une abstinence absolue et le traitement de la dépression étant exigibles de l'intéressée.</w:t>
      </w:r>
    </w:p>
    <w:p>
      <w:r>
        <w:rPr>
          <w:b/>
        </w:rPr>
        <w:t>E. 9.3</w:t>
      </w:r>
    </w:p>
    <w:p>
      <w:r>
        <w:t>Il appert ainsi que sur le plan psychique, le diagnostic le plus récent au dossier émanant d'un médecin dont il est dit qu'il est psychiatre est celui de dépression récurrente avec un épisode dépressif majeur associé à de l'alcoolisme, posé par le Dr L._______ et rapporté dans un document faisant état d'une hospitalisation pour tentative de suicide du 26 novembre au 13 décembre 2004 (OAIE pce 86). Sur le plan cardiologique, il s'agit du rapport du 28 décembre 2007 du Dr P._______, cardiologue, qui relève la survenance de plus en plus fréquente d'extrasystolie ventriculaire et met en évidence une hypokinésie septo-apicale (OAIE pce 103). Le Tribunal de céans est dès lors d'avis que les éléments au dossier ne sont pas suffisants pour établir clairement les atteintes tant psychiques que somatiques de la recourante au cours de la période déterminante pour le droit éventuel à des prestations de l'assurance-invalidité suisse.</w:t>
      </w:r>
    </w:p>
    <w:p>
      <w:r>
        <w:rPr>
          <w:b/>
        </w:rPr>
        <w:t>E. 10.1</w:t>
      </w:r>
    </w:p>
    <w:p>
      <w:r>
        <w:t>Il en va de même s'agissant de la capacité de travail. A cet égard, le Dr S._______, dans ses prises de position des 31 janvier et 14 avril 2011, conclut que l'intéressée peut exercer à plein temps et sans restriction son ancienne activité de secrétaire, de même que toute autre activité n'exigeant pas le port de charges supérieures à 10 kg; il précise qu'il n'existe, du point de vue cardiaque, aucune limitation depuis décembre 2007 au plus tard, et que le problème d'alcool avec dépression secondaire ne relève pas de l'assurance-invalidité. L'autorité inférieure a considéré, sur cette base, que la recourante ne présentait pas d'invalidité et a rejeté sa demande de prestations.</w:t>
      </w:r>
    </w:p>
    <w:p>
      <w:r>
        <w:rPr>
          <w:b/>
        </w:rPr>
        <w:t>E. 10.2</w:t>
      </w:r>
    </w:p>
    <w:p>
      <w:r>
        <w:t>Le Tribunal de céans ne saurait rallier les conclusions du Dr S._______. Le rapport du service médical de l'OAIE ne constitue pas, en effet, un examen médical sur la personne concernée, mais doit contenir les résultats de l'examen des conditions médicales du droit aux prestations et une recommandation, sous l'angle médical, concernant la suite à donner à la demande de prestations. Ce rapport ne doit pas ainsi poser de nouvelles conclusions médicales mais a notamment pour but de résumer et de porter une appréciation sur les conclusions déjà existantes et la situation médicale de la personne concernée, ce qui implique aussi de dire sur quelle pièce médicale il y a lieu de se fonder ou s'il y a lieu de procéder à une instruction complémentaire (arrêts du Tribunal fédéral 9C_581/2007 du 14 juillet 2008 consid. 3.2 et 9C_341/2007 du 16 novembre 2007 consid. 4.1). Or, il appert que mise à part les certificats médicaux d'arrêt de travail qui font d'état d'une incapacité de travail du 25 au 29 juin 2001, du 28 septembre au 14 octobre 2001 et du 5 au 11 novembre 2001, puis du 27 décembre 2001 au 10 mars 2002 (100%), prolongée à 50% jusqu'au 10 avril 2002, puis encore du 1er au 12 mai 2002, du 8 au 23 juin 2002 (100%) et du 24 juin au 31 juillet 2002 (50%), aucun des documents médicaux au dossier ne se prononce sur la capacité de travail de la recourante, ni du point de vue psychiatrique, ni du point de vue somatique, la Dresse Q._______ se contentant, dans le rapport E 213, d'indiquer qu'en vertu de la législation du pays de résidence, soit la France, l'invalidité, pour l'activité exercée en dernier lieu, est totale, sans répondre aux questions 11.1 à 11.6 sur la capacité de l'intéressée dans sa dernière activité lucrative ou dans une activité professionnelle adaptée. Le Dr S._______ a d'ailleurs lui-même relevé cette absence d'informations dans sa prise de position du 31 janvier 2011. Force est par conséquent de constater que pour apprécier la situation de la recourante et rendre ses conclusions, le Dr S._______, qui n'a pas personnellement examiné l'intéressée, s'est fondé sur des documents incomplets, sommaires et anciens pour la plupart (voir supra consid. 9), dont aucun ne s'exprime sur la capacité de travail de l'intéressée.</w:t>
      </w:r>
    </w:p>
    <w:p>
      <w:r>
        <w:rPr>
          <w:b/>
        </w:rPr>
        <w:t>E. 10.3</w:t>
      </w:r>
    </w:p>
    <w:p>
      <w:r>
        <w:t>S'agissant en particulier de la dépendance à l'alcool, il convient de rappeler que d'après la jurisprudence constante du Tribunal fédéral, si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S'il existe au contraire un lien de causalité entre l'atteinte maladive à la santé psychique et la dépendance, la mesure de ce qui est exigible doit alors être déterminé en tenant compte de l'ensemble des limitations liées à la maladie psychique et à la dépendance.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Par ailleurs,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Si l'examen médical conduit à la conclusion que la dépendance est seule déterminante du point de vue de l'assurance-invalidité, il n'y a pas lieu d'opérer une distinction entre les différentes atteintes à la santé (arrêt du Tribunal fédéral 9C_395/2007 du 15 avril 2008 consid. 2 et les références) Or, en l'espèce, bien qu'il ressorte du document provenant du dossier de l'Echelon Local du Service Médical de V. qu'aux alentours d'août 2009, une hospitalisation aux urgences de l'hôpital de U. pour ivresse aigue majeure a eu lieu et qu'un arrêt de travail a été prononcé en date du 20 octobre 2009, vraisemblablement prolongé jusqu'au 8 janvier 2010, informations propres à mettre en doute la pertinence de l'avis du Dr S._______, les éléments anamnestiques recueillis ne sont cependant pas suffisants pour déterminer la chronologie et l'étiologie de l'alcoolisme, ni ses conséquences sur la capacité de travail; en particulier, malgré les troubles psychologiques dont il est fait état dans les pièces produites et les nombreuses hospitalisations liées à des tentatives de suicide avec consommation d'alcool, il n'y a au dossier aucun rapport psychiatrique complet et récent. Il n'est dès lors pas possible d'établir jusqu'à ce jour si la recourante a été et est toujours victime, ou pas, d'une alcoolodépendance constitutive d'invalidité au sens de la jurisprudence, de savoir si elle souffre d'un trouble psychique et de quelle intensité, si l'alcoolisme est secondaire à une pathologie antérieure et, cas échéant, quels sont les effets combinés des deux pathologies.</w:t>
      </w:r>
    </w:p>
    <w:p>
      <w:r>
        <w:rPr>
          <w:b/>
        </w:rPr>
        <w:t>E. 11</w:t>
      </w:r>
    </w:p>
    <w:p>
      <w:r>
        <w:t>Au vu de ce qui précède, le Tribunal de céans constate que la documentation versée au dossier n'est pas suffisante pour porter un jugement valable sur le droit litigieux et établir, au degré de la vraisemblance prépondérante, la nature et l'intensité des atteintes dont souffre la recourante et leurs conséquences sur sa capacité de travail résiduelle, durant la période déterminante pour le droit éventuel à une prestation de l'assurance-invalidité. L'autorité inférieure ne pouvait donc se baser sur les pièces médicales au dossier et, en particulier, sur les appréciations de son service médical, pour justifier, dans la décision dont est recours, le rejet de la demande de prestations de l'assurance-invalidité, et aurait dû procéder à des investigations supplémentaires avant de statuer. Partant, en application de l'art. 61 al. 1 PA et en accord avec la jurisprudence en la matière (ATF 137 V 210 consid. 4.4.1.4), il se justifie d'admettre le recours en ce sens que la décision du 9 mai 2011 est annulée et la cause renvoyée à l'autorité inférieure qui rendra une nouvelle décision après avoir complété l'instruction du dossier par toutes les mesures propres à clarifier l'état de santé physique et psychique de la recourante, et, le cas échéant, les limitations fonctionnelles qui en découlent et sa capacité de travail résiduelle. Pour ce faire, l'OAIE s'adressera aux médecins de la recourante afin d'obtenir des rapports complets et précis sur son état de santé et l'évolution de celui-ci, sur les traitements suivis et sur la capacité de travail résiduelle, et ce, à tout le moins dès le 14 juillet 2009, soit une année avant la date à partir de laquelle le droit à la rente peut prendre naissance au plus tôt en l'espèce (art. 29 al. 1 LAI). Si nécessaire, l'OAIE soumettra également la recourante à une expertise pluridisciplinaire auprès de services spécialisés, en particulier à une expertise psychiatrique qui se prononcera sur la question de la dépendance à l'alcool conformément à la jurisprudence du Tribunal fédéral (voir supra consid. 10.3). Enfin, le cas échéant, l'autorité inférieure établira également, de façon motivée, la méthode d'évaluation de l'invalidité applicable au cas d'espèce (méthode générale ou mixte). Le choix de la méthode d'évaluation de l'invalidité (art. 28a LAI)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cela à la lumière de sa situation personnelle, familiale, sociale et professionnelle (art. 27bis RAI; ATF 117 V 195 consid. 3b, arrêts du Tribunal fédéral I 930/05 du 15 décembre 2006 consid. 3.1 et I 603/04 du 5 septembre 2005 consid. 3).</w:t>
      </w:r>
    </w:p>
    <w:p>
      <w:r>
        <w:rPr>
          <w:b/>
        </w:rPr>
        <w:t>E. 12</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qui a consisté à déposer une demande d'assistance gratuite d'un avocat avec son formulaire et en la rédaction de deux courriers, il convient de lui allouer une indemnité de dépens de Fr. 2'500,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