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C-2965/2014 vom 26. Februar 2015</w:t>
      </w:r>
    </w:p>
    <w:p>
      <w:r>
        <w:t>Bundesverwaltungsgericht, 2015-02-26, FR</w:t>
      </w:r>
    </w:p>
    <w:p>
      <w:r>
        <w:rPr>
          <w:b/>
        </w:rPr>
        <w:t xml:space="preserve">Quelle: </w:t>
      </w:r>
      <w:r>
        <w:t>https://mcp.opencaselaw.ch/entscheid/bvger_C-2965_2014</w:t>
      </w:r>
    </w:p>
    <w:p>
      <w:r>
        <w:t>FR: TAF C-2965/2014 du 26 février 2015</w:t>
      </w:r>
    </w:p>
    <w:p>
      <w:r>
        <w:t>IT: TAF C-2965/2014 del 26 febbraio 2015</w:t>
      </w:r>
    </w:p>
    <w:p>
      <w:pPr>
        <w:pStyle w:val="Heading2"/>
      </w:pPr>
      <w:r>
        <w:t>Regeste</w:t>
      </w:r>
    </w:p>
    <w:p>
      <w:r>
        <w:t>Visa Schengen</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(cf. art. 48 al. 1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Tribunal administratif fédéral C-5953/2013 du 26 juin 2014 consid. 3 et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3469, spéc. p. 3531; voir également l'ATF 135 II 1 consid. 1.1 et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et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du Sri Lanka, B._______ est soumise à l'obligation du visa.</w:t>
      </w:r>
    </w:p>
    <w:p>
      <w:r>
        <w:rPr>
          <w:b/>
        </w:rPr>
        <w:t>E. 5</w:t>
      </w:r>
    </w:p>
    <w:p>
      <w:r>
        <w:t>Dans la décision querellée du 2 mai 2014, l'autorité de première instance a refusé d'autoriser l'entrée en Suisse de l'intéressée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ou de la requérante.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invitée, dans la mesure où il ne peut être exclu qu'une situation politiquement, socialement ou économiquement moins favorisée que celle que connaît la Suisse puisse influencer son comportement. 5.2 Au regard de la situation socio-économique et politique prévalant au Sri Lanka, on ne saurait de prime abord écarter les craintes de l'autorité inférieure de voir l'intéressée prolonger son séjour en Suisse ou dans l'Espace Schengen au-delà de la date d'échéance du visa sollicité. A ce propos, il convient de prendre en considération la qualité de vie et les conditions économiques et sociales difficiles que connaît l'ensemble de la population du Sri Lanka, pays qui a connu une guerre civile jusqu'en 2009 et dont le produit intérieur brut (PIB) par habitant s'élevait, en 2013, à 3'127 US$. Après un important dynamisme de l'activité économique en 2010 et 2011, les années 2012 et 2013 ont cependant marqué un ralentissement avec une croissance du PIB estimée respectivement à 6,4% et 6.3%, ce ralentissement étant notamment imputable à la morosité du contexte international et régional et au resserrement de la politique monétaire visant à répondre aux recommandations du Fonds monétaire international (FMI) (source: www.diplomatie.gouv.fr &gt; Dossiers pays et Zones géographiques &gt; Sri Lanka &gt; Présentation du Sri Lanka; mise à jour le 15 juillet 2014; site consulté en décembre 2014).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familial et social préexistant (parenté, amis), comme cela est précisément le cas en l'espèce par la présence sur le territoire helvétique des membres de la famille de B._______. A cela s'ajoute le risque migratoire non négligeable qui prévaut en la présente cause. En effet, le Sri Lanka était en 2013 l'un des principaux pays de provenance des requérants d'asile en Suisse, avec 684 demandes enregistrées durant cette année, soit une progression de 38,5% (+ 190) par rapport à l'année 2012. Au cours du premier trimestre 2014, les ressortissants sri-lankais arrivent en troisième position avec 262 demandes déposées. Par ailleurs, si l'on se réfère à la statistique du 3ème trimestre 2014, l'on constate que le Sri Lanka est le troisième pays de provenance des requérants d'asile, avec 369 requêtes déposées durant ce trimestre, soit 155 de plus (+72,4%) qu'au 2ème trimestre 2014 (cf. Commentaire sur la statistique en matière d'asile 2013 et Commentaire sur la statistique en matière d'asile 3ème trimestre 2014, documents établis par l'ODM respectivement les 10 janvier et 13 octobre 2014, en ligne sur le site internet de cet office &gt; Publications &amp; service &gt; Statistiques en matière d'asile &gt; Statistiques annuelles et mensuelles; site consulté en décembre 2014). Au vu de ces éléments, force est de reconnaître que le risque migratoire que présentent la requête de visa déposée par B._______ en date du 17 mars 2014 ne saurait être sous-estimé.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w:t>
      </w:r>
    </w:p>
    <w:p>
      <w:r>
        <w:rPr>
          <w:b/>
        </w:rPr>
        <w:t>E. 6</w:t>
      </w:r>
    </w:p>
    <w:p>
      <w:r>
        <w:t>Il convient dès lors d'examiner si la situation personnelle, familiale et patrimoniale de B._______ plaide en faveur de sa sortie ponctuelle respectivement de Suisse et de l'Espace Schengen, au terme du séjour envisagé.</w:t>
      </w:r>
    </w:p>
    <w:p>
      <w:r>
        <w:rPr>
          <w:b/>
        </w:rPr>
        <w:t>E. 6.1</w:t>
      </w:r>
    </w:p>
    <w:p>
      <w:r>
        <w:t>A ce propos, le recourant fait valoir que sa belle-mère touche une rente de veuve dans son pays d'origine et qu'elle dispose donc de moyens financiers suffisants pour y vivre dans de bonnes conditions (cf. mémoire de recours). Aux yeux du Tribunal, pareil élément ne saurait toutefois être à ce point déterminant qu'il soit susceptible, à lui seul, de la dissuader de prolonger son séjour en Suisse au-delà du terme du visa requis. En effet, il appert des pièces du dossier que l'intéressée ne semble pas disposer d'attaches familiales particulièrement étroites dans sa patrie, dès lors que tous ses enfants vivent à l'étranger. Ce fait, qui a été retenu par l'autorité inférieure dans la décision attaquée (cf. p. 3), n'a d'ailleurs nullement été contesté par le recourant.</w:t>
      </w:r>
    </w:p>
    <w:p>
      <w:r>
        <w:rPr>
          <w:b/>
        </w:rPr>
        <w:t>E. 6.2</w:t>
      </w:r>
    </w:p>
    <w:p>
      <w:r>
        <w:t>Certes, le recourant fait valoir dans le cadre de la procédure de recours que B._______ avait déjà été autorisée par le passé à se rendre une fois en Suisse (cf. déterminations présentées le 13 août 2014), soit en 2003 (cf. visa apposé sur le passeport de l'intéressée). Cet argument n'est cependant point déterminant dans la mesure où, selon la jurisprudence, chaque demande fait l'objet d'un examen individuel et actualisé (cf. arrêts du Tribunal administratif fédéral C-3737/2013 du 21 juin 2014 consid. 6.2 et C-1742/2012 du 21 septembre 2012 consid. 6.2 et jurisprudence citée). A cet égard, le Tribunal constate que la situation personnelle de B._______ a subi une évolution en ce sens qu'elle n'avait que soixante-et-un ans lors de son précédant séjour en Suisse, alors qu'elle est âgée de plus de septante-deux ans aujourd'hui. Aussi ne saurait-on complètement exclure que l'intéressée, précisément en raison de son âge actuel, puisse être tentée de poursuivre son séjour pour différentes raisons (médicales ou autres, notamment en raison du fait que tous ses enfants résident à l'étranger) au-delà de la durée de validité de son visa, comme le fait remarquer à juste titre l'autorité de première instance dans la décision attaquée (cf. p. 3). Pareille crainte ne saurait simplement être écartée, dans le cas d'espèce, par le fait que le recourant a relevé le bon état de santé de sa belle-mère (cf. déterminations du 13 août 2014). A ce sujet, il n'a d'ailleurs pas fourni la moindre pièce pour étayer une telle affirmation. A titre superfétatoire, le Tribunal constate en outre que le timbre humide figurant sur son document de voyage montre que l'intéressée était bien arrivée à l'aéroport de Zurich le 7 septembre 2003, mais qu'elle n'était retournée au Sri Lanka que 1er mars 2004, dépassant ainsi de près de trois mois le séjour initialement autorisé par les autorités suisses.</w:t>
      </w:r>
    </w:p>
    <w:p>
      <w:r>
        <w:rPr>
          <w:b/>
        </w:rPr>
        <w:t>E. 6.3</w:t>
      </w:r>
    </w:p>
    <w:p>
      <w:r>
        <w:t>Enfin, aucun élément du dossier ne permet de considérer que la situation matérielle de B._______ se trouverait péjorée si celle-ci prenait la décision de demeurer sur le territoire suisse à l'expiration de son visa. Le Tribunal note par ailleurs que le désir exprimé par les intéressés de pouvoir se rencontrer en Suisse pour une visite familiale ne constitue pas à lui seul un motif justifiant l'octroi du visa sollicité, à propos duquel ils ne sauraient au demeurant se prévaloir d'aucun droit (cf. consid. 3 supra).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(ibid.). 7.Par surabondance, il sied de remarquer que le refus d'autorisation d'entrée ne remet nullement en cause la bonne foi ou l'honnêteté de la personne qui, résidant régulièrement en Suisse, a invité un tiers domicilié à l'étranger pour un séjour de visite et s'est engagée à garantir les frais y relatifs et le départ de son invité(e). Les assurances données en la matière, comme celles formulées notamment sur le plan financier (cf. mémoire de recours), sont effectivement prises en compte pour se prononcer sur la question de savoir si un visa peut être accordé au ressortissant étranger qui le sollicite. Cependant, elles ne peuvent être tenues pour décisives, dans la mesure où elles n'engagent pas la requérante elle-même et ne permettent nullement d'exclure l'éventualité que cette dernière, une fois en Suisse,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Au demeurant, il convient d'observer qu'un refus d'autorisation d'entrée dans l'Espace Schengen prononcé par les autorités helvétiques n'a pas en l'occurrence pour conséquence d'empêcher les intéressés de se voir, puisqu'ils peuvent tout aussi bien se rencontrer hors de Suisse. A cela s'ajoute que ceux-ci ont la possibilité de maintenir leurs contacts familiaux par d'autres moyens, tels que la communication téléphonique et l'échange épistolaire. Enfin, il sied enfin de relever que le recourant n'a pas invoqué à l'appui de son pourvoi de raisons susceptibles de justifier la délivrance d'un visa à validité territoriale limitée (cf. consid. 4.4 ci-avant). 8.Compte tenu des considérants exposés ci-dessus, le Tribunal estime qu'il ne saurait être reproché à l'autorité inférieure d'avoir refusé la délivrance d'une autorisation d'entrée dans l'Espace Schengen en faveur de B._______. Il s'ensuit que, par sa décision du 2 mai 2014,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