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C-2963/2013 vom 14. Juli 2014</w:t>
      </w:r>
    </w:p>
    <w:p>
      <w:r>
        <w:t>Bundesverwaltungsgericht, 2014-07-14, FR</w:t>
      </w:r>
    </w:p>
    <w:p>
      <w:r>
        <w:rPr>
          <w:b/>
        </w:rPr>
        <w:t xml:space="preserve">Quelle: </w:t>
      </w:r>
      <w:r>
        <w:t>https://mcp.opencaselaw.ch/entscheid/bvger_C-2963_2013</w:t>
      </w:r>
    </w:p>
    <w:p>
      <w:r>
        <w:t>FR: TAF C-2963/2013 du 14 juillet 2014</w:t>
      </w:r>
    </w:p>
    <w:p>
      <w:r>
        <w:t>IT: TAF C-2963/2013 del 14 luglio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4.1</w:t>
      </w:r>
    </w:p>
    <w:p>
      <w:r>
        <w:t>La décision dont est recours fait suite à deux demandes de rente: une première demande du 20 janvier 2010 que l'OAIE a rejetée par décision du 20 décembre 2010 parce qu'une activité adaptée à l'état de santé restait exigible à 100 % avec une perte de gain de 37 % et une deuxième demande du 14 décembre 2011 que l'OAIE a refusé d'examiner par décision du 14 mars 2012 parce qu'une modification de l'état de santé n'était pas établie de manière plausible.</w:t>
      </w:r>
    </w:p>
    <w:p>
      <w:r>
        <w:rPr>
          <w:b/>
        </w:rPr>
        <w:t>E. 4.2</w:t>
      </w:r>
    </w:p>
    <w:p>
      <w:r>
        <w:t>En application de l'art. 87 al. 3 et 4 du règlement du 17 janvier 1961 sur l'assurance-invalidité (RAI, RS 831.201), lorsque la rente a été refusée parce que le degré d'invalidité était insuffisant ou accordée pour une période limitée,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 En l'espèce, l'OAIE a rendu une décision de refus d'entrer en matière parce qu'il a estimé qu'il n'était pas établi de manière plausible que l'invalidité s'était modifiée de manière à influencer le droit aux prestations depuis le rejet de la première demande par décision du 20 décembre 2010 (OAI pce 104). L'assuré lui-même ne fait pas valoir de péjoration de son état de santé depuis décembre 2010, mais réitère qu'il est incapable d'exercer une activité lucrative vu les séquelles d'un accident survenu en septembre 2008. Le Tribunal de céans constate que, vu la décision du 20 décembre 2010 entrée en force, il est établi qu'à cette date le recourant n'avait pas droit à une rente d'invalidité. Selon les pièces médicales versées au dossier qui confirment les diagnostics déjà connus en décembre 2010, à savoir des séquelles de l'accident de septembre 2008, il n'est pas établi de manière plausible que l'invalidité se soit modifiée de manière à influencer le droit aux prestations depuis le rejet de la première demande par décision du 20 décembre 2010. C'est donc à raison que l'OAIE n'est pas entré en matière sur la nouvelle demande dans la décision attaquée.</w:t>
      </w:r>
    </w:p>
    <w:p>
      <w:r>
        <w:rPr>
          <w:b/>
        </w:rPr>
        <w:t>E. 5.1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5.2</w:t>
      </w:r>
    </w:p>
    <w:p>
      <w:r>
        <w:t>Les frais de procédure, fixés à 400 francs, sont mis à la charge du recourant (art. 63 al. 1 PA, applicable par le truchement de l'art. 37 LTAF). Ils sont prélevés sur l'avance de frais du même montant dont il s'est acquitté au cours de l'instruction.</w:t>
      </w:r>
    </w:p>
    <w:p>
      <w:r>
        <w:rPr>
          <w:b/>
        </w:rPr>
        <w:t>E. 5.3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