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C-2963/2011 vom 25. Mai 2004</w:t>
      </w:r>
    </w:p>
    <w:p>
      <w:r>
        <w:t>Bundesverwaltungsgericht, 2004-05-25, IT</w:t>
      </w:r>
    </w:p>
    <w:p>
      <w:r>
        <w:rPr>
          <w:b/>
        </w:rPr>
        <w:t xml:space="preserve">Quelle: </w:t>
      </w:r>
      <w:r>
        <w:t>https://mcp.opencaselaw.ch/entscheid/bvger_C-2963_2011</w:t>
      </w:r>
    </w:p>
    <w:p>
      <w:r>
        <w:t>FR: TAF C-2963/2011 du 25 mai 2004</w:t>
      </w:r>
    </w:p>
    <w:p>
      <w:r>
        <w:t>IT: TAF C-2963/2011 del 25 maggio 2004</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la Tribunale è retta dalla PA (art. 37 LTAF).</w:t>
      </w:r>
    </w:p>
    <w:p>
      <w:r>
        <w:rPr>
          <w:b/>
        </w:rPr>
        <w:t>E. 2</w:t>
      </w:r>
    </w:p>
    <w:p>
      <w:r>
        <w:t>A._______ ha diritto di ricorrere (art. 48 cpv. 1 PA) e il suo ricorso, pre­sentato nella forma e nei termini prescritti dalla legge, è ricevibile (cfr. art. 50 e 52 PA), nella misura in cui, come si vedrà di seguito (cfr. consid. 10 in fine), non è divenuto privo d'oggetto.</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w:t>
      </w:r>
    </w:p>
    <w:p>
      <w:r>
        <w:rPr>
          <w:b/>
        </w:rPr>
        <w:t>E. 4</w:t>
      </w:r>
    </w:p>
    <w:p>
      <w:r>
        <w:t>Nel gravame il ricorrente si è prevalso della violazione del suo diritto di essere sentito, poiché egli non avrebbe avuto la possibilità di esprimersi prima dell'emissione della decisione. Occorre dunque dapprima esaminare tale censura di natura formale.</w:t>
      </w:r>
    </w:p>
    <w:p>
      <w:r>
        <w:rPr>
          <w:b/>
        </w:rPr>
        <w:t>E. 4.1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e giurisprudenza ivi citata). La giurisprudenza ha inoltre dedotto dal diritto di essere sentito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rispettata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4.2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precitata, consid. 2.6.1 e giurisprudenza ivi citata; sentenza del Tribunale federale 1C_112/2011 del 13 luglio 2011 consid. 2.1.3 e giu­risprudenza ivi citata). Inoltre secondo il Tribunale federale, è giustificato rinunciare al rinvio di una vertenza all'autorità inferiore anche in pre­senza di una grave violazione della precitata garanzia, nella misura in cui tale agire rappresenterebbe uni­camente una formalità eccessiva che provocherebbe inutili ritar­di in­conciliabili con gli interessi del ricorrente (cfr. DTF 133 I 201 consid. 2.2 e giuri­sprudenza ivi citata).</w:t>
      </w:r>
    </w:p>
    <w:p>
      <w:r>
        <w:rPr>
          <w:b/>
        </w:rPr>
        <w:t>E. 4.3</w:t>
      </w:r>
    </w:p>
    <w:p>
      <w:r>
        <w:t>Nella fattispecie, l'interessato è stato sentito prima dell'emissione del provvedimento (cfr. verbale d'interrogatorio del 21 aprile 20111 della Polizia Cantonale del Cantone Ticino - Gruppo rimpatri, pag. 1). Inoltre con riferimento alla carente motivazione della decisione litigiosa, sebbene succinta, occorre rilevare che il ricorrente ne ha compreso il contenuto ed ha potuto di­fendersi correttamente, nonché ha avuto la possibilità di esprimersi liberamente di fronte ad un'autorità di ricorso la cui cognizione è altrettanto ampia che quella dell'autorità inferiore. Visto quanto precede, il diritto di essere sentito del ricorrente non è stato violato.</w:t>
      </w:r>
    </w:p>
    <w:p>
      <w:r>
        <w:rPr>
          <w:b/>
        </w:rPr>
        <w:t>E. 5.1</w:t>
      </w:r>
    </w:p>
    <w:p>
      <w:r>
        <w:t>Il divieto d'entrata in Svizzera è disciplinato dall'art. 67 LStr.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5.2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La prassi previgente dell'UFM relativa a tale disposizione può essere ripresa (cfr. FF 2009 7752). Infine l'autorità cui compete la decisione può, per motivi umanitari o altri motivi gravi, rinunciare a pronunciare un divieto d'entrata oppure sospenderlo definitivamente o temporaneamente (art. 67 cpv. 5 LStr).</w:t>
      </w:r>
    </w:p>
    <w:p>
      <w:r>
        <w:rPr>
          <w:b/>
        </w:rPr>
        <w:t>E. 5.3</w:t>
      </w:r>
    </w:p>
    <w:p>
      <w:r>
        <w:t>Qualora una decisione di divieto di entrata è stata pronunciata ai sensi dell'art. 67 LStr nei confronti di un cittadino di uno Stato non parte agli Accordi di associazione alla normativa di Schengen (elencati nell'allegato 1 cifra LStr), questi -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 viene di principio segna­lato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5.4</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5.5</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6.1</w:t>
      </w:r>
    </w:p>
    <w:p>
      <w:r>
        <w:t>Dalle risultanze agli atti emerge segnatamente che: - 26 luglio 2004 l'interessato è stato condannato con decreto d'accusa del Ministero pubblico del Cantone Ticino, cresciuto in giudicato, per contravvenzione alla Lstup, alla pena di 90 giorni di detenzione sospesa condizionalmente per un periodo di prova di 2 anni; - il 24 novembre 2006 A._______ è stato invece condannato dal Tribunal de police del Cantone Ginevra alla pena detentiva di 18 mesi, per infrazione all'art. 19 cifra 1 e 2 let. a LStup. - infine in data 5 aprile 2011, il ricorrente è stato condannato con sentenza della Corte delle assise correzionali di Bellinzona, per infrazione aggravata alla LStup (art. 19 cifra 2 Lstup), nonché per il reato di conseguimento fraudolento di una falsa attestazione, alla pena detentiva 15 mesi di detenzione da espiare. Con riferimento alle condanne menzionate, il presente Tribunale sottolinea la repentina violazione all'ordinamento giuridico svizzero: infatti entrato in Svizzera a fine dicembre del 2002, dal 1° giugno 2003 al 19 maggio 2004 egli violava ripetutamente la LStup, vendendo in più occasioni e a diversi acquirenti locali almeno 35,6 grammi di cocaina, perlopiù attraverso bolas da 0,2 a 0,6 g l'una. Contestualmente egli ha offerto 3 bolas da ca. 0,2 grammi a terze persone quale compenso per un trasferimento di denaro attraverso la Western Union (decreto di accusa del Ministero Pubblico del Cantone Ticino, cresciuto in giudicato, del 26 luglio 2004, pag. 1 e 2). Nel 2006 il ricorrente ha anche commesso reati legati allo spaccio di stupefacenti (sentenza del Tribunal de police del Cantone Ginevra del 24 novembre 2006, pag. 15). Più grave appare però la condanna recente del 2011. Infatti A._______, oltre ad essere stato condannato per conseguimento fraudolento di una falsa attestazione, nel quadro del matrimonio civile e dell'ottenimento del permesso di dimora nel corso del 2005, è stato riconosciuto colpevole della vendita, in diverse località del Cantone Ticino nel periodo da luglio a dicembre 2009, di almeno 340 grammi di cocaina (sentenza Corte delle assise correzionali di Bellinzona del 5 aprile 2011, pag. 2).</w:t>
      </w:r>
    </w:p>
    <w:p>
      <w:r>
        <w:rPr>
          <w:b/>
        </w:rPr>
        <w:t>E. 6.2</w:t>
      </w:r>
    </w:p>
    <w:p>
      <w:r>
        <w:t>I reati di droga di cui si è reso colpevole l'interessato sono considerati gravi e giustificano l'in­tervento rigoroso e deciso da parte delle autorità competenti. La protezione della collettività, di fronte allo sviluppo del traffico degli stupefacenti,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sentenza del Tribunale federale 2C_313/2010 del 28 luglio 2010 consid. 5.2; sentenza del Tribunale amministrativo federale C-8304/2007 del 2 settembre 2009 consid. 9.2 e giurisprudenza ivi citata). Gli individui coinvolti nel traffico di sostanze stupefacenti devono dunque attendersi l'adozione di misure di allontanamento o di divieto d'entrata nei loro confronti, dettate dalla legittima necessità di proteggere la collettività. Tale severità è pure condivisa dalla Corte europea dei diritti dell'uomo (in seguito CGCE) (DTF 129 II 215 consid. 7.3, DTF 125 II 521 consid. 4a/aa). A questo titolo giova rilevare come secondo la giurisprudenza di codesta Corte,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cfr. inoltre l'allegato alla direttiva 64/221/CEE, lett. b ch. 1).</w:t>
      </w:r>
    </w:p>
    <w:p>
      <w:r>
        <w:rPr>
          <w:b/>
        </w:rPr>
        <w:t>E. 6.3</w:t>
      </w:r>
    </w:p>
    <w:p>
      <w:r>
        <w:t>Visto quanto precede, vi è ragione di considerare oggettivamente gravi le infrazioni commesse da A._______, tali da minacciare un interesse fondamentale della società in conformità con la giurisprudenza sino ad oggi sviluppata. Inoltre, con tali atti, il ricorrente ha dimostrato di rappresentare una concreta minaccia, sufficientemente grave, da legittimare l'adozione di una misura dettata da motivi d'ordine pubblico. Infine l'aver delinquito sistematicamente, e l'aver ripetutamente fornito false generalità, perdipiù nell'ambito del riconoscimento del proprio matrimonio rispettivamente nel quadro dell'ottenimento del permesso di dimora, dimostra come egli non sia in grado o non abbia alcuna volontà di attenersi all'ordine vigente e pertanto il pericolo di recidiva sussiste tutt'oggi. Ne discende che l'autorità di prime cure ha, a giusto titolo, emesso un divieto d'entrata nei suoi confronti.</w:t>
      </w:r>
    </w:p>
    <w:p>
      <w:r>
        <w:rPr>
          <w:b/>
        </w:rPr>
        <w:t>E. 7</w:t>
      </w:r>
    </w:p>
    <w:p>
      <w:r>
        <w:t>Essendo la decisione di divieto d'entrata confermata nel suo principio, resta ora da stabilire se la durata della misura di allontanamento adottata dall'UFM, prevista per un periodo indeterminato, rispetta il principio di proporzionalità.</w:t>
      </w:r>
    </w:p>
    <w:p>
      <w:r>
        <w:rPr>
          <w:b/>
        </w:rPr>
        <w:t>E. 7.1</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Ulrich Häfelin/Georg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7.2</w:t>
      </w:r>
    </w:p>
    <w:p>
      <w:r>
        <w:t>Il ricorrente si è reso protagonista di crimini particolarmente efferati per l'ordine pubblico e che riguardano beni giuridici estremamente sensibili, quali la salute pubblica. Egli ha commesso ripetute infrazioni alla LStup. Quanto agli interessi privati dell'interessato, segnatamente la sua lunga lontananza dal Paese d'origine, l'assenza di parenti stretti, la probabile difficoltà di trovare un impiego in questo Paese a causa delle difficili condizioni economiche e politiche non permettono di ritenerli preponderanti rispetto all'interesse pubblico di mantenimento dell'ordine e della sicurezza in Svizzera. Occorre inoltre ricordare che con decisione del 31 ottobre 2011 il Giudice dei provvedimenti coercitivi, ha respinto la concessione di libertà condizionale nella misura in cui l'allontanamento/rimpatrio non era "possibile e organizzato dalla competente autorità amministrativa. A quel momento, e solo a quel momento, la libertà condizionale potrà essere formalmente concessa [...] e da eseguirsi [...] mediante consegna del condannato al Gruppo rimpatri" (decisione del Giudice dei provvedimenti coercitivi, del 31 ottobre 2011, pag. 5). Con decisione dell'8 novembre successivo, lo stesso giudice ha quindi costatato che la liberazione condizionale poteva "essere concessa ai fini esclusivi dell'allontanamento e esecuzione del rimpatrio" (decisione del Giudice dei provvedimenti coercitivi, dell'8 novembre 2011, pag. 2). Date le circostanze, il Tribunale ritiene che la ponderazione degli interessi in presenza conduca a considerare che l'interesse pubblico al mantenimento della misura di allontanamento di durata indeterminata sia proporzionata allo scopo di protezione dell'ordine e della sicurezza pubblici ricercati con questa misura conformemente all'art. 67 cpv. 3 LStr.</w:t>
      </w:r>
    </w:p>
    <w:p>
      <w:r>
        <w:rPr>
          <w:b/>
        </w:rPr>
        <w:t>E. 8.1</w:t>
      </w:r>
    </w:p>
    <w:p>
      <w:r>
        <w:t>Allegando la presenza dei propri genitori in Italia rispettivamente della fidanzata in Svizzera, il ricorrente ha indirettamente fatto valere la violazione dell'art. 8 CEDU, adducendo che la decisione dell'UFM comporterebbe la privazione di qualsiasi rapporto con questi ultimi. Un analogo esame della proporzionalità si impone quindi anche nell'ottica di questa norma.</w:t>
      </w:r>
    </w:p>
    <w:p>
      <w:r>
        <w:rPr>
          <w:b/>
        </w:rPr>
        <w:t>E. 8.2</w:t>
      </w:r>
    </w:p>
    <w:p>
      <w:r>
        <w:t>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Revue de droit administratif et de droit fiscal, RDAT 1 1997 pag. 282). Quanto all'art. 13 cpv. 1 della Costituzione federale del 18 aprile 1999 (Cost., RS 101), che garantisce il diritto alla vita privata e familiare, la protezione accordata corrisponde sostanzialmente a quella dell'art. 8 CEDU (cfr. DTF 137 I 167 consid. 7). 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Occorre ancora ricordare che la protezione del diritto al rispetto della vita privata e familiare, conferita della norma convenzionale in oggetto non è assoluta (DTF 135 I 143 consid. 2). Infatti, conformemente all'art. 8 par.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135 II 377 consid. 4.3 e 4.4 e la giurisprudenza ivi citata concernente un permesso di soggiorno in Svizzera). Nel caso in esame, per stessa ammissione del ricorrente, i genitori abitano in Italia, mentre sul territorio svizzero risiede unicamente la fidanzata E._______. Ora, secondo la giurisprudenza, i fidanzati e i concubini non sono abilitati ad invocare l'art. 8 CEDU a meno che la coppia non intrattenga relazioni strette ed effettivamente vissute da lungo tempo e che vi siano degli indizi concreti di matrimonio voluto ed imminente (cfr. sentenza del Tribunale federale 2C_207/2012 del 31 maggio 2012 e giurisprudenza citata). Ciò non è provato nella fattispecie. Inoltre la fidanzata non poteva né ignorare i trascorsi delittuosi del ricorrente né il fatto che questi avrebbero potuto costituire un ostacolo ad una vita di coppia e famigliare in Svizzera (cfr. tra le altre sentenza del Tribunale federale 2C.768/2010 del 18 aprile 2011 e 2C_475/2009 del 26 gennaio 2010 consid. 4.2.3). Ne consegue che, sebbene non si possa negare l'esistenza di un legame affettivo, il ricorrente non può dunque beneficiare di alcun diritto derivante dall'art. 8 CEDU.</w:t>
      </w:r>
    </w:p>
    <w:p>
      <w:r>
        <w:rPr>
          <w:b/>
        </w:rPr>
        <w:t>E. 9</w:t>
      </w:r>
    </w:p>
    <w:p>
      <w:r>
        <w:t>Si osserva infine che, secondo una prassi costante dell'autorità competente, per quanto concerne i provvedimenti amministrativi di durata indeterminata, malgrado non sia stato fissato alcun limite temporale, ciò non significa che la decisione esplichi i suoi effetti per una durata perenne e immutabile bensì che allo stato attuale delle cose non è possibile determinarne la durata precisa (cfr. sentenza del Tribunale federale 2C_36/2009 del 20 ottobre 2009 consid. 3.2 e giurisprudenza ivi citata). Di principio lo straniero potrà in ogni momento sollecitare il riesame, a condizione che tale richiesta non costituisca una manovra dilatoria. In linea generale si deduce dalla prassi applicata in tale ambito che il diritto ad un riesame approfondito esiste allorquando sono trascorsi circa dieci anni dall'espiazione della pena. Per determinare tale periodo si risale all'epoca dell'ultima condanna penale così come a quella dei delitti perpetrati (cfr. DTAF 2008/24 consid. 6.2 e giurisprudenza ivi cita­ta). Nella misura in cui gli ultimi gravi fatti risalgono al dicembre 2009 e la relativa condanna all'aprile 2011, non si può ritenere sia trascorso un lasso di tempo sufficiente per poter limitare la durata della misura disposta dall'autorità inferiore.</w:t>
      </w:r>
    </w:p>
    <w:p>
      <w:r>
        <w:rPr>
          <w:b/>
        </w:rPr>
        <w:t>E. 10</w:t>
      </w:r>
    </w:p>
    <w:p>
      <w:r>
        <w:t>In queste circostanze e tenuto conto del fatto che la presenza in Svizzera del ricorrente non appare indispensabile, visti i motivi suesposti, il Tribunale constata che il divieto d'entrata di durata indeterminata pronunciato dall'UFM è fondato. Ne discende che l'autorità di prime cure, con la decisione del 29 aprile 2011, non ha violato il diritto federale, né abusato del suo potere d'apprezzamento; inoltre l'UFM non ha accertato in modo inesatto o incompleto i fatti giuridicamente rilevanti ed inoltre la decisione non è inadeguata (art. 49 PA). Il ricorso deve dunque essere respinto nella misura in cui non è divenuto privo d'oggetto avendo l'UFM proceduto alla cancellazione dell'iscrizione nel SIS.</w:t>
      </w:r>
    </w:p>
    <w:p>
      <w:r>
        <w:rPr>
          <w:b/>
        </w:rPr>
        <w:t>E. 11</w:t>
      </w:r>
    </w:p>
    <w:p>
      <w:r>
        <w:t>Vista la decisione di concessione del gratuito patrocinio dell'8 luglio 2011, non si prelevano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