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C-2956/2015 vom 18. April 2016</w:t>
      </w:r>
    </w:p>
    <w:p>
      <w:r>
        <w:t>Bundesverwaltungsgericht, 2016-04-18, DE</w:t>
      </w:r>
    </w:p>
    <w:p>
      <w:r>
        <w:rPr>
          <w:b/>
        </w:rPr>
        <w:t xml:space="preserve">Quelle: </w:t>
      </w:r>
      <w:r>
        <w:t>https://mcp.opencaselaw.ch/entscheid/bvger_C-2956_2015</w:t>
      </w:r>
    </w:p>
    <w:p>
      <w:r>
        <w:t>FR: TAF C-2956/2015 du 18 avril 2016</w:t>
      </w:r>
    </w:p>
    <w:p>
      <w:r>
        <w:t>IT: TAF C-2956/2015 del 18 aprile 2016</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13. April 2015 (act. 97)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der Vorinstanz vom 13. April 2015 (act. 97), mit welcher das Leistungsbegehren des Beschwerdeführers auf eine schweizerische IV-Rente abgewiesen worden ist. Mit Blick auf den (sinngemässen) Antrag auf Aufhebung dieser Verfügung ist streitig und zu prüfen, ob der Rentenanspruch der Beschwerdeführers zu Recht abgelehnt worden ist und in diesem Zusammenhang insbesondere, ob die Vor-instanz den Sachverhalt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Staatsangehöriger von Mazedonien und hat dort seinen Wohnsitz (act. 1 S. 1). Vorliegend findet damit das Abkommen vom 9. Dezember 1999 zwischen der Schweizerischen Eidgenossenschaft und der Republik Mazedonien über Soziale Sicherheit (SR 0.831.109.520.1; im Folgenden: Abkommen) Anwendung. Nach Art. 3 in Verbindung mit Art. 4 Abs.1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w:t>
      </w:r>
    </w:p>
    <w:p>
      <w:r>
        <w:rPr>
          <w:b/>
        </w:rPr>
        <w:t>E. 2.2</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13. April 2015 in Kraft standen; weiter aber auch solche Vorschriften, die damals bereits ausser Kraft getreten waren, für die Beurteilung eines allenfalls früher entstandenen Rentenanspruchs aber von Belang sind (das IVG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Mit Blick auf das Datum der angefochtenen Verfügung (13. April 2015) gelangen allenfalls auch die Normen des vom Bundesrat auf den 1. Januar 2012 in Kraft gesetzten ersten Teils der 6. IV-Revision (IV-Revision 6a) zur Anwendung.</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bzw. während mindestens einem Jahr in der bis zum 31. Dezember 2007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(vgl. Bst. A. hiervor), so dass die Voraussetzung der Mindestbeitragsdauer für den Anspruch auf eine ordentliche Invalidenrente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127 V 294 E. 4c in fine, 102 V 165; AHI 2001 S. 228 E. 2b).</w:t>
      </w:r>
    </w:p>
    <w:p>
      <w:r>
        <w:rPr>
          <w:b/>
        </w:rPr>
        <w:t>E. 2.6</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zur Verneinung der Voraussetzungen für eine zumutbare Willensanstrengung vgl. BGE 139 V 547 E. 9; BGE 137 V 64 E. 4.1; BGE 131 V 49 E. 1.2 mit Hinweisen). Diese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2.7</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w:t>
      </w:r>
    </w:p>
    <w:p>
      <w:r>
        <w:rPr>
          <w:b/>
        </w:rPr>
        <w:t>E. 3</w:t>
      </w:r>
    </w:p>
    <w:p>
      <w:r>
        <w:t>Im Rahmen des Erlasses der angefochtenen Verfügung vom 13. April 2015 dienten der Vorinstanz als Entscheidbasis in medizinischer Hinsicht insbesondere die polydisziplinäre Expertise der B._______ vom 12. Dezember 2014 (act. 68) sowie die Stellungnahme von Dr. med. G._______ vom IV-internen medizinischen Dienst vom 30. Dezember 2014 (act. 85). Diese medizinischen Dokumente sind nachfolgend zusammengefasst wiederzugeben und einer Würdigung zu unterziehen.</w:t>
      </w:r>
    </w:p>
    <w:p>
      <w:r>
        <w:rPr>
          <w:b/>
        </w:rPr>
        <w:t>E. 3.1</w:t>
      </w:r>
    </w:p>
    <w:p>
      <w:r>
        <w:t>Im Hauptgutachten wurde mit Auswirkung auf die Arbeitsfähigkeit ein hyperkinetisches Herzfrequenzverhalten diagnostiziert. Ohne Auswirkung auf die Arbeitsfähigkeit wurden folgende Diagnosen gestellt: Gonalgie rechtes Knie mit endphasigen Überstreckschmerz und ohne klinische Hinweise für eine weitergehende Kniegelenkbinnenpathologie (weitestgehend unauffällige Röntgenanatomie), anamnestisch Status nach Mittelfussfrakturen 1. und 2. Strahl 08/1995 infolge Aufprall eines zirka 100 kg schweren Granitrandsteins (vorgetragene Belastungsinsuffizienz mit hinkendem Gangbild ohne korrelierende pathologischen Befunde, insbesondere keine Unfallfolgen), anhaltende somatoforme Schmerzstörung (ICD-10: F45.4), Dysthymie (ICD-10: F34.1), Kopfschmerzen unklarer Ätiologie (DD vasomotorisch, funktionell), Nikotinabusus, Dyslipidämie (behandelt). Weiter wurde zusammengefasst ausgeführt, bei gegenwärtig besagter hyperkinetischer Kreislaufreaktion wären nur leichte bis gegen mittelschwere Tätigkeiten ohne grösseren Zeitdruck auszuführen. In Frage kämen Kontrollaktivitäten mit wechselnder Belastung, Sitzen, Gehen und Stehen. Körperliche Anstrengungen, welche schwere Tätigkeiten beinhalten würden, seien im Moment nicht ratsam. Erfolgreiche Behandlung der hyperkinetischen Kreislaufreaktion vorausgesetzt, wären wieder alle beruflichen, zumindest bis mittelschweren Aktivitäten denkbar. Orthopädisch-traumatologisch sowie auch neurologisch und psychiatrisch ergäben sich keine weiteren Beeinträchtigungen der Belastbarkeit. Die bisherige Tätigkeit im Strassenbau sollte - mit Hinweis auf die Ausführungen im internistischen Fachgutach-ten - vorerst nicht wieder aufgenommen/fortgeführt werden. In einer adaptierten Tätigkeit bestehe durchgehend und spätestens seit Februar 1996 eine Arbeitsfähigkeit von 100 %. Hinsichtlich des retrospektiven Verlaufs der Arbeits- resp. Erwerbsfähigkeit wurde zusammenfassend berichtet, für zirka sechs Monate nach dem Unfallereignis von August 1995 habe eine Arbeitsunfähigkeit bestanden. Ab zirka Februar 1996 bis zirka 2008 habe sowohl in der bisherigen als auch in einer angepassten Tätigkeit eine 100%ige Arbeitsfähigkeit vorgelegen. Seit 2008 bestehe wegen dem hyperkinetischen Herzsyndrom in der bisherigen körperlich schweren Tätigkeit im Strassenbau keine Arbeitsfähigkeit mehr. Hingegen sei die Arbeitsfähigkeit in einer dem Belastungsprofil angepassten Tätigkeit durchgehend nicht eingeschränkt. Dies gelte für die Zeit vor und nach dem 1. Oktober 2013; seit diesem Datum bis heute ergebe sich keine Änderung der Arbeitsfähigkeit. Betreffend die besonderen Fragen wurde schliesslich ausgeführt, eine ausgewiesene psychiatrische Komorbidität von erheblicher Schwere, Ausprägung und Dauer liege nicht vor. Es sei zu keinem sozialen Rückzug in allen Belangen des Lebens gekommen. Der Versicherte sei durchaus in der Lage, soziale Aktivitäten wahrzunehmen. Er werde zwar antidepressiv und angstlösend behandelt. Ein wirklicher Versuch, die seit langem bestehende psychogene Komponente der Schmerzproblematik anzugehen, sei bisher nicht erfolgt. Auf ein Scheitern der Behandlung könne aus diesem Grund nicht geschlossen werden.</w:t>
      </w:r>
    </w:p>
    <w:p>
      <w:r>
        <w:rPr>
          <w:b/>
        </w:rPr>
        <w:t>E. 3.2.1</w:t>
      </w:r>
    </w:p>
    <w:p>
      <w:r>
        <w:t>Die Expertise der B._______ resp. die entsprechenden fachärztlichen Teilgutachten erfüllen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Unter diesen Umständen ist auch der von Dr. med. G._______ vom IV-internen medizinischen Dienst am 30. Dezember 2014 verfasste Bericht (act. 85) - ein entscheidrelevantes Aktenstück im Sinne von Art. 59 Abs. 2bis IVG (vgl. hierzu Urteil I 143/07 des BGer vom 14. September 2007 E. 3.3 mit Hinweisen; vgl. auch Urteil I 694/05 des EVG vom 15. Dezember 2006 E. 5) - nicht in Zweifel zu ziehen. Da von einer zusätzlichen medizinischen Abklärung keine neuen Erkenntnisse zu erwarten sind (zur antizipierten Beweiswürdigung vgl. BGE 131 I 153 E. 3; SVR 2007 IV Nr. 45 S. 149 E. 4; Urteil des BGer I 9/07 vom 9. Februar 2007 E. 4), lässt sich der gesundheitliche Zustand des Beschwerdeführers und dessen Auswirkungen auf die Arbeits- und Leistungsfähigkeit im vorliegenden Beschwerdeverfahren schlüssig und zuverlässig beurteilen (vgl. BGE 125 V 353 E. 3b/bb; vgl. zum Ganzen auch E. 2.8 hiervor).</w:t>
      </w:r>
    </w:p>
    <w:p>
      <w:r>
        <w:rPr>
          <w:b/>
        </w:rPr>
        <w:t>E. 3.2.2</w:t>
      </w:r>
    </w:p>
    <w:p>
      <w:r>
        <w:t>Mit Blick auf die in BGE 141 V 281 vorgenommene Praxisänderung - welche nichts daran geändert hat, dass eine Einschränkung der Leistungsfähigkeit nur relevant sein kann, wenn sie Folge einer fachärztlich einwandfrei diagnostizierten Gesundheitsbeeinträchtigung ist - ist festzustellen, dass sich der funktionelle Schweregrad einer Störung nach deren konkreten funktionellen Auswirkungen und insbesondere danach beurteilt, wie stark die versicherte Person in sozialen, beruflichen oder anderen wichtigen Funktionsbereichen schmerzbedingt beeinträchtigt ist. Nachdem die Experten mit einlässlicher und nachvollziehbarer Begründung unter Bezugnahme auf die Alltagsaktivitäten des Versicherten einen erheblichen funktionellen Schweregrad der anhaltende somatoforme Schmerzstörung (ICD-10: F45.4) sowie der Dysthymie (ICD-10: F34.1) ausgeschlossen resp. ein Einfluss dieser Störungen auf die Arbeits- resp. Leistungsfähigkeit verneint hatten, ist nicht vom Vorliegen eines rentenauslösenden Gesundheitsschadens auszugehen. Es besteht deshalb auch unter dem Blickwinkel von BGE 141 V 281 keine Notwendigkeit zur Anordnung eines neuen Gutachtens (vgl. hierzu Urteil des BGer 9C_481/2015 vom 16. Februar 2016 E. 4.2.3 mit Hinweisen).</w:t>
      </w:r>
    </w:p>
    <w:p>
      <w:r>
        <w:rPr>
          <w:b/>
        </w:rPr>
        <w:t>E. 3.2.3</w:t>
      </w:r>
    </w:p>
    <w:p>
      <w:r>
        <w:t>Daran vermögen die vom Beschwerdeführer nachgereichten Berichte (act. 90 bis 94) nichts zu ändern. Zum einen führt Dr. med. G._______ in seiner Stellungnahme vom 24. März 2015 überzeugend und nachvollziehbar aus, weshalb er eine innert vier Monaten erfolgte signifikante Verschlechterung des Gesundheitszustands nicht bestätigen kann. Zum anderen ist mit Blick auf diese nachgereichten Kurzberichte (act. 92 bis 94) festzustellen, dass sich diese nicht zur Restarbeits- bzw. -erwerbsfähigkeit äussern. Weiter wurde dem Bericht von Dr. med. H._______ vom 6. März 2015 (act. 91) bereits von den Experten Rechnung getragen, indem diese eine körperlich schwerere Arbeit als nicht mehr zumutbar taxiert hatten. Auch wurde - wie im Bericht vom Orthopäden Dr. med. I._______ am 5. März 2015 erwähnt (act. 93) - sowohl von den Experten als auch von Dr. med. G._______ berücksichtigt, dass der Beschwerdeführer bei der Fortbewegung Schmerzen erleidet. Schliesslich ist betreffend die am 3. März 2015 erfolgte Diagnosestellung (Angst und depressive Störung, gemischt [ICD-10: F41.2] und Neurasthenie [ICD-10: F48.0]; act. 92 und 94) in Übereinstimmung mit Dr. med. G._______ festzuhalten, dass diese ohne eine entsprechend vertiefte und somit ohne schlüssige und nachvollziehbare Begründung erfolgt war.</w:t>
      </w:r>
    </w:p>
    <w:p>
      <w:r>
        <w:rPr>
          <w:b/>
        </w:rPr>
        <w:t>E. 3.3</w:t>
      </w:r>
    </w:p>
    <w:p>
      <w:r>
        <w:t>Aufgrund der vorstehenden Erwägungen ist zusammenfassend festzuhalten, dass der Beschwerdeführer aus polydisziplinärer Sicht in seiner angestammten Tätigkeit als Bauarbeiter im Strassenbau ab dem Unfalldatum (22. August 1995) bis spätestens Ende Februar 1996 resp. in einer schwer(er)en Tätigkeit wiederum ab dem Jahr 2008 zu 100% arbeitsunfähig war bzw. ist. In einer leidensadaptierten Verweistätigkeit bestand durchgehend und spätestens seit Februar 1996 eine Arbeitsfähigkeit von 100 %. Davon ist nachfolgend bei der Bemessung der Invalidität auszugehen. In diesem Zusammenhang ist darauf hinzuweisen, dass sich auch keine koordinationsrechtlichen Fragen stellen, zumal die Suva keine Leistungen mehr ausrichtet (zum Koordinationsrecht vgl. BGE 133 V 549 E. 6, 131 V 362 und 126 V 288 E. 2d; Urteil des Bundesgerichts vom 13. Januar 2004 [publiziert in AHI 2004 S. 186]).</w:t>
      </w:r>
    </w:p>
    <w:p>
      <w:r>
        <w:rPr>
          <w:b/>
        </w:rPr>
        <w:t>E. 4.1</w:t>
      </w:r>
    </w:p>
    <w:p>
      <w:r>
        <w:t>Da der Beschwerdeführer nach Ablauf der gesetzlichen einjährigen Wartezeit im August 1996 (ein Jahr nach dem Unfallereignis) nicht mindestens zu 40 % invalid gewesen war (vgl. aArt. 28 Abs. 1 in Verbindung mit aArt. 29 Abs. 1 Bst. a und b IVG in der bis 31. Dezember 2003 gültig gewesenen Fassung [vgl. E. 2.2 hiervor]), entstand bereits aus diesem Grund zum damaligen Zeitpunkt kein Rentenanspruch. Nachfolgend ist zu prüfen, ob ein solcher zufolge des hyperkinetischen Herzsyndroms ab dem Jahre 2008 bestand resp. besteht. Bei der nachfolgenden Bemessung der Invalidität sind deshalb im Rahmen des Einkommensvergleichs die Verhältnisse im Zeitpunkt des (hypothetischen) Beginns des Rentenanspruchs im Jahr 2009 massgebend (Art. 29 Abs. 1 IVG in der ab 1. Januar 2008 geltenden Fassung; BGE 129 V 222).</w:t>
      </w:r>
    </w:p>
    <w:p>
      <w:r>
        <w:rPr>
          <w:b/>
        </w:rPr>
        <w:t>E. 4.2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4.3.1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4.3.2</w:t>
      </w:r>
    </w:p>
    <w:p>
      <w:r>
        <w:t>Hinsichtlich der Bestimmung des hypothetischen Valideneinkommens ist es in Anbetracht des Bildungsstands des Beschwerdeführers und der von ihm in der Schweiz ausgeübten Erwerbstätigkeit (Strassenbauer) sachgerecht, auf die LSE 2008, privater Sektor, Wirtschaftszweig Baugewerbe, Männer, Anforderungsniveau 4, abzustützen. Somit resultiert als Zwischenergebnis ein jährliches hypothetisches Valideneinkommen von Fr. 61'800.- (vgl. www.bfs.admin.ch Themen Arbeit, Erwerb Publikationen [S. 3] Schweizerische Lohnstrukturerhebung 2008, S. 26, Tabelle TA1, Wirtschaftszweig 45; zuletzt besucht am 24. März 2016). Unter Berücksichtigung der branchenspezifischen betriebsüblichen wöchentlichen Arbeitszeit von 41.6 Stunden im Jahr 2008 (BGE 126 V 75 E. 3b bb S. 76; vgl. www.bfs.admin.ch Themen Arbeit, Erwerb Erwerbstätigkeit und Arbeitszeit detaillierte Daten Statistik der betriebsüblichen Arbeitszeit Betriebsübliche Arbeitszeit nach Wirtschaftsabteilungen, in Stunden pro Woche 1990-2014, Abschnitt F Ziff. 41 - 43 [Baugewerbe/Bau]; zuletzt besucht am 24. März 2016) und der Nominallohnentwicklung von 2008 auf 2009 (Tabelle 1.1.05; Nominallohnindex Männer 2008 Abschnitt F [Baugewerbe]: 104.8; 2009: 106.9; vgl. www.bfs.admin.ch Themen Arbeit/Erwerb Löhne/Erwerbseinkommen detaillierte Daten schweizerischen Lohnindex nach Branche schweizerischer Lohnindex: Index und Veränderung auf der Basis 2010; zuletzt besucht am 12. April 2016) ergibt sich demnach ein hypothetisches Valideneinkommen von jährlich Fr. 65'560.-. Davon ist vorliegend auszugehen.</w:t>
      </w:r>
    </w:p>
    <w:p>
      <w:r>
        <w:rPr>
          <w:b/>
        </w:rPr>
        <w:t>E. 4.4.1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ebenfalls 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w:t>
      </w:r>
    </w:p>
    <w:p>
      <w:r>
        <w:rPr>
          <w:b/>
        </w:rPr>
        <w:t>E. 4.4.2</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4.4.3</w:t>
      </w:r>
    </w:p>
    <w:p>
      <w:r>
        <w:t>Aufgrund der schlüssigen sowie überzeugenden und damit voll beweiskräftigen Expertise der B._______ resp. der entsprechenden fachärztlichen Teilgutachten sind dem Beschwerdeführer unter Berücksichtigung der gesundheitlichen Beeinträchtigungen leidensadaptierte Verweisungstätigkeiten in vollem Ausmass von 100 % spätestens seit Februar 1996 zumutbar. Die Vorinstanz bestimmte das hypothetische Invalideneinkommen im Rahmen des Einkommensvergleichs vom 12. Juni 2013 zu Gunsten des Beschwerdeführers aufgrund eines Durchschnittswerts (act. 45 S. 1). Mit Blick auf die oben zusammengefasst wiedergegebene bundesgerichtliche Rechtsprechung ist zur Bestimmung des hypothetischen Invalideneinkommens des Beschwerdeführers jedoch auf den Zentralwert der Tabelle TA1 der LSE 2008 abzustellen. Dieser Wert belief sich für die mit einfachen und repetitiven Tätigkeiten beschäftigen Männer im privaten Sektor (Anforderungsniveau 4) im Jahr 2008 auf monatlich brutto Fr. 4'806.- bei einer wöchentlichen Arbeitszeit von 40 Stunden und inkl. 13. Monatslohn (vgl. www.bfs.admin.ch &gt; Themen &gt; Arbeit, Erwerb &gt; Publikationen &gt; Schweizerische Lohnstrukturerhebung 2008, S. 26, Tabelle TA1, Wirtschaftszweige total; zuletzt besucht am 24. März 2016). Unter Umrechnung dieses Einkommens auf die betriebsübliche wöchentliche Arbeitszeit von 41.6 Stunden im Jahr 2008 (BGE 126 V 75 E. 3b bb S. 76; vgl. www.bfs.admin.ch &gt; Themen &gt; Arbeit, Erwerb &gt; Erwerbstätigkeit und Arbeitszeit &gt; detaillierte Daten &gt; Statistik der betriebsüblichen Arbeitszeit &gt; Betriebsübliche Arbeitszeit nach Wirtschaftsabteilungen, in Stunden pro Woche 1990-2012, Abschnitte A-S [Abteilungen 01-96]; zuletzt besucht am 24. März 2016) und Berücksichtigung der Nominallohnentwicklung von 2008 auf 2009 (Tabelle 1.1.05; Nominallohnindex Total Männer 2008: 105.0; 2009: 107.2; vgl. www.bfs.admin.ch &gt; Themen &gt; Arbeit/Erwerb &gt; Löhne/Erwerbseinkommen &gt; detaillierte Daten &gt; schweizerischen Lohnindex nach Branche &gt; schweizerischer Lohnindex: Index und Veränderung auf der Basis 2010; zuletzt besucht am 12. April 2016) resultiert demnach ein hypothetisches Invalideneinkommen von Fr. 61'236.- pro Jahr.</w:t>
      </w:r>
    </w:p>
    <w:p>
      <w:r>
        <w:rPr>
          <w:b/>
        </w:rPr>
        <w:t>E. 4.5</w:t>
      </w:r>
    </w:p>
    <w:p>
      <w:r>
        <w:t>Aus der Gegenüberstellung eines hypothetischen Valideneinkommens von jährlich Fr. 65'560.- und eines hypothetischen Invalideneinkommens von Fr. 61'236.- pro Jahr resultiert bei einer Erwerbseinbusse von Fr. 4'324.- ein IV-Grad von 7 %, was keinen Anspruch auf ein IV-Rente ergibt. Selbst wenn ein Abzug vom Tabellenlohn in voller Höhe von 25 % vorgenommen und sich dieses Einkommen demnach auf Fr. 48'989.- belaufen würde, würde aus der Gegenüberstellung eines hypothetischen Valideneinkommens von jährlich Fr. 65'560.- und eines hypothetischen Invalideneinkommens von Fr. 48'989.- pro Jahr bei einer Erwerbseinbusse von Fr. 16'571.- ein IV-Grad von lediglich 25 % resultieren, was keinen Anspruch auf eine Rente ergäbe.</w:t>
      </w:r>
    </w:p>
    <w:p>
      <w:r>
        <w:rPr>
          <w:b/>
        </w:rPr>
        <w:t>E. 5</w:t>
      </w:r>
    </w:p>
    <w:p>
      <w:r>
        <w:t>Aufgrund der vorstehenden Erwägungen ist zusammenfassend festzustellen, dass sich die Verfügung der Beschwerdeführerin vom 13. April 2015 im Ergebnis als rechtens erweist, weshalb die dagegen erhobene Beschwerde vom 29. April 2015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