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C-2951/2009 vom 10. März 2010</w:t>
      </w:r>
    </w:p>
    <w:p>
      <w:r>
        <w:t>Bundesverwaltungsgericht, 2010-03-10, FR</w:t>
      </w:r>
    </w:p>
    <w:p>
      <w:r>
        <w:rPr>
          <w:b/>
        </w:rPr>
        <w:t xml:space="preserve">Quelle: </w:t>
      </w:r>
      <w:r>
        <w:t>https://mcp.opencaselaw.ch/entscheid/bvger_C-2951_2009</w:t>
      </w:r>
    </w:p>
    <w:p>
      <w:r>
        <w:t>FR: TAF C-2951/2009 du 10 mars 2010</w:t>
      </w:r>
    </w:p>
    <w:p>
      <w:r>
        <w:t>IT: TAF C-2951/2009 del 10 marzo 2010</w:t>
      </w:r>
    </w:p>
    <w:p>
      <w:pPr>
        <w:pStyle w:val="Heading2"/>
      </w:pPr>
      <w:r>
        <w:t>Regeste</w:t>
      </w:r>
    </w:p>
    <w:p>
      <w:r>
        <w:t>Entrée","Approbation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d'autorisation d'entrée et de refus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 cf. également sur cette question et par rapport à la disposition de l'art. 27 de la loi fédérale du 16 décembre 2005 sur les étrangers (LEtr, RS 142.20) applicable à la présente cause l'arrêt du Tribunal fédéral 2D_28/2009 du 12 mai 2009).</w:t>
      </w:r>
    </w:p>
    <w:p>
      <w:r>
        <w:rPr>
          <w:b/>
        </w:rPr>
        <w:t>E. 1.2</w:t>
      </w:r>
    </w:p>
    <w:p>
      <w:r>
        <w:t>A moins que la LTAF n'en dispose autrement, la procédure devant le Tribunal est régie par la PA (cf. art. 37 LTAF).</w:t>
      </w:r>
    </w:p>
    <w:p>
      <w:r>
        <w:rPr>
          <w:b/>
        </w:rPr>
        <w:t>E. 1.3</w:t>
      </w:r>
    </w:p>
    <w:p>
      <w:r>
        <w:t>Spécialement atteinte par la décision attaquée, ayant un intérêt digne de protection à son annulation et ayant pris part à la procédure devant l'autorité inférieure, 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Dans la mesure où A._______ invoque un vice de procédure en reprochant à l'autorité inférieure d'avoir violé son droit d'être entendue en rendant la décision querellée sans lui avoir donné la possibilité de se déterminer - la recourante relève ne pas avoir reçu la lettre que l'ODM lui a adressée, par l'entremise de l'Ambassade de Suisse à Yaoundé, en date du 25 novembre 2008 -, le Tribunal examinera en priorité ce grief. En effet, le droit d'être entendu est de nature formelle, de sorte que sa violation entraîne en principe l'annulation de la décision attaquée sans qu'il soit nécessaire de vérifier si, au fond, la décision apparaît justifiée ou non (cf. ATF 121 I 320 consid. 2a, 120 Ib 279 consid. 3b).</w:t>
      </w:r>
    </w:p>
    <w:p>
      <w:r>
        <w:rPr>
          <w:b/>
        </w:rPr>
        <w:t>E. 3.1</w:t>
      </w:r>
    </w:p>
    <w:p>
      <w:r>
        <w:t>Le droit d'être entendu, inscrit à l'art. 29 al. 2 de la Constitution fédérale du 18 avril 1999 (Cst.; RS 101), comprend le droit de s'exprimer, le droit de consulter le dossier, le droit de faire administrer des preuves et de participer à l'administration des preuves, le droit d'obtenir une décision motivée et le droit de se faire représenter ou assister (cf. André Grisel, Traité de droit administratif, Neuchâtel 1984, vol. I et II, p. 380ss et 840ss).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(cf. ATAF 2009/36 consid. 7.1).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ATF 126 I 7 consid. 2b et ATF 124 II 132 consid. 2b ainsi que la jurisprudence citée; cf. également Grisel, op. cit., vol. I, p. 380s. et Fritz Gygi, Bundesverwaltungsrechtspflege, Berne 1983, p. 69).</w:t>
      </w:r>
    </w:p>
    <w:p>
      <w:r>
        <w:rPr>
          <w:b/>
        </w:rPr>
        <w:t>E. 3.2</w:t>
      </w:r>
    </w:p>
    <w:p>
      <w:r>
        <w:t>Le dossier ne contenant aucune preuve de la notification de la lettre du 25 novembre 2008, on ne peut exclure que la recourante n'ait pas été en mesure de s'exprimer sur l'intention de l'ODM de refuser d'approuver l'octroi, par les autorités compétentes du canton de Vaud, de l'autorisation de séjour pour études. Force est, dans ces circonstances, d'admettre que le droit d'être entendue de la recourante a été violé. Le Tribunal relève, à ce propos, qu'on peut raisonnablement attendre de l'ODM, lorsqu'il notifie, par l'entremise d'une représentation suisse à l'étranger, des courriers munis d'un délai, qu'il vérifie, avant de poursuivre la procédure et de rendre une décision, si la représentation diplomatique a pu valablement procéder à la notification de l'acte en question.</w:t>
      </w:r>
    </w:p>
    <w:p>
      <w:r>
        <w:rPr>
          <w:b/>
        </w:rPr>
        <w:t>E. 3.3</w:t>
      </w:r>
    </w:p>
    <w:p>
      <w:r>
        <w:t>Il convient toutefois de s'interroger sur une possible réparation de ce vice formel. Comme le retient le Tribunal fédéral dans sa jurisprudence constante, la violation du droit d'être entendu peut, à titre exceptionnel, pour autant que ladite violation ne soit pas particulièrement grave, être considérée comme guérie lorsque la cognition de l'instance de recours n'est pas limitée par rapport à celle de l'instance inférieure - ce qui est le cas en l'espèce - et qu'il n'en résulte aucun préjudice pour le recourant (ATF 133 I 201 consid. 2.2; ATAF précité consid. 7.3; cf. Bernhard Waldmann / Jürg Bickel, in: Bernhard Waldmann / Philippe Weissenberger (Hrsg.), Praxiskommentar zum Bundesgesetz über das Verwaltungsverfahren (VwVG), Zurich 2009, ad art. 29, § 106-127). Avant de rendre sa décision, l'ODM a envoyé une lettre à la recourante pour lui donner la possibilité de se déterminer. Ce courrier n'est apparemment jamais parvenu à sa destinataire. Cette situation n'est toutefois pas aussi grave que si l'ODM avait statué sans effectuer la moindre démarche préalable visant au respect du droit d'être entendue de l'intéressée. On ne se trouve dès lors pas, en l'espèce, en présence d'une violation crasse de ce droit. En outre, la recourante a eu la possibilité, dans le cadre de la procédure de recours, d'expliciter ses arguments et de prendre position de façon adéquate au sujet des éléments qui ont motivé la décision précitée, faculté dont elle n'a pas cru bon faire usage lors de l'échange d'écritures (cf. ci-dessus, let. F in fine). Aussi, la violation du droit d'être entendu doit être considérée comme étant réparée.</w:t>
      </w:r>
    </w:p>
    <w:p>
      <w:r>
        <w:rPr>
          <w:b/>
        </w:rPr>
        <w:t>E. 3.4</w:t>
      </w:r>
    </w:p>
    <w:p>
      <w:r>
        <w:t>Au vu de ce qui précède, le moyen tiré de la violation du droit d'être entendu doit être écarté.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4.2</w:t>
      </w:r>
    </w:p>
    <w:p>
      <w:r>
        <w:t>Les autorités compétentes tiennent notamment compte, en exerçant leur pouvoir d'appréciation, des intérêts publics et de la situation personnelle de l'étranger (art. 96 al. 1 LEtr).</w:t>
      </w:r>
    </w:p>
    <w:p>
      <w:r>
        <w:rPr>
          <w:b/>
        </w:rPr>
        <w:t>E. 5.1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de l'ordonnance relative à l'admission, au séjour et à l'exercice d'une activité lucrative [OASA, RS 142.201]).</w:t>
      </w:r>
    </w:p>
    <w:p>
      <w:r>
        <w:rPr>
          <w:b/>
        </w:rPr>
        <w:t>E. 5.2</w:t>
      </w:r>
    </w:p>
    <w:p>
      <w:r>
        <w:t>En l'espèce, la compétence décisionnelle appartient à la Confédération en vertu des règles de procédure précitées (cf. également ch. 1.3.1.1 et 1.3.1.2.2. let. a des Directives et commentaires de l'ODM, en ligne sur son site &gt; Thèmes &gt; Bases légales &gt; Directives et commentaires &gt; Domaine des étrangers &gt; Procédure et compétences, version du 1er juillet 2009, consulté le 17 février 2010). Il s'ensuit que ni le Tribunal, ni l'ODM ne sont liés par la proposition du SPOP-VD du 9 octobre 2008 et peuvent parfaitement s'écarter de l'appréciation faite par cette autorité.</w:t>
      </w:r>
    </w:p>
    <w:p>
      <w:r>
        <w:rPr>
          <w:b/>
        </w:rPr>
        <w:t>E. 6.1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6.2.1</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 Le Conseil fédéral a précisé qu'il suffit, s'agissant plus spécifiquement de cette dernière condition, que le départ de Suisse paraisse assuré au moment où la décision est rendue, d'après les circonstances concrètes du cas d'espèce (cf. Message du Conseil fédéral concernant la loi sur les étrangers du 8 mars 2002, FF 2002 3542, ad art. 27 du projet de loi).</w:t>
      </w:r>
    </w:p>
    <w:p>
      <w:r>
        <w:rPr>
          <w:b/>
        </w:rPr>
        <w:t>E. 6.2.2</w:t>
      </w:r>
    </w:p>
    <w:p>
      <w:r>
        <w:t>Conformément à l'art. 23 al. 2 OASA, il paraît assuré que l'étranger quittera la Suisse notamment: a) lorsqu'il dépose une déclaration d'engagement allant dans ce sens; b) lorsqu'aucun séjour ou procédure de demande antérieur, ou aucun autre élément n'indique que la personne concernée entend demeu- rer durablement en Suisse; c) lorsque le programme de formation est respecté. La sortie de Suisse n'est notamment pas assurée au sens de l'art. 23 al. 2 let. b OASA lorsque la situation économique, sociale ou politique du pays d'origine est fragile, que le requérant est sans attaches professionnelles particulières avec celui-ci, qu'il n'y a aucune contrainte familiale, qu'il existe des antécédents administratifs défavorables ou que les documents présentés à l'appui de la demande sont des faux, falsifiés ou douteux (cf. STEVE FAVEZ, Les étudiants dans la loi sur les étrangers, Revue de droit administratif et de droit fiscal [RDAF] I 2009 p. 230). Une formation ou un perfectionnement est en principe admis pour une durée maximale de huit ans. Des dérogations peuvent être accordées en vue d'une formation ou d'un perfectionnement visant un but précis (art. 23 al. 3 OASA).</w:t>
      </w:r>
    </w:p>
    <w:p>
      <w:r>
        <w:rPr>
          <w:b/>
        </w:rPr>
        <w:t>E. 6.3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l'ancienne réglementation (cf. Message,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et jurisprudence citée; voir également l'arrêt du Tribunal fédéral 2D_28/2009 du 12 mai 2009 et le Message du Conseil fédéral précité, FF 2002 3485, ad ch. 1.2.3). Tel n'est pas le cas en l'espèce, si bien que les autorités disposent donc d'un large pouvoir d'appréciation dans le cadre de la présente cause.</w:t>
      </w:r>
    </w:p>
    <w:p>
      <w:r>
        <w:rPr>
          <w:b/>
        </w:rPr>
        <w:t>E. 7.1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RDAF I 1997 p 287).</w:t>
      </w:r>
    </w:p>
    <w:p>
      <w:r>
        <w:rPr>
          <w:b/>
        </w:rPr>
        <w:t>E. 7.2</w:t>
      </w:r>
    </w:p>
    <w:p>
      <w:r>
        <w:t>S'agissant des étudiants étrangers admis à séjourner sur sol helvétique, l'expérience démontre que ceux-ci ne saisissent pas toujours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C-1794/2006 du 17 juillet 2009 consid. 5.2, C-4419/2007 du 28 avril 2009 consid. 5.2 et jurisprudence citée).</w:t>
      </w:r>
    </w:p>
    <w:p>
      <w:r>
        <w:rPr>
          <w:b/>
        </w:rPr>
        <w:t>E. 8</w:t>
      </w:r>
    </w:p>
    <w:p>
      <w:r>
        <w:t>En l'espèce, l'ODM estime que la condition posée par l'art. 27 al. 1 let. d LEtr n'est pas remplie, ce que conteste A._______, laquelle relève, dans son mémoire de recours, se destiner à une vie professionnelle au Cameroun, affirmation par ailleurs appuyée par l'école CANVAS SA dans sa lettre du 23 avril 2009. Cet institut affirme en outre qu'au terme de sa formation, la recourante trouvera facilement du travail dans son pays en tant que personne qualifiée dans le domaine du textile.</w:t>
      </w:r>
    </w:p>
    <w:p>
      <w:r>
        <w:rPr>
          <w:b/>
        </w:rPr>
        <w:t>E. 8.1</w:t>
      </w:r>
    </w:p>
    <w:p>
      <w:r>
        <w:t>Si le Tribunal se doit de relever que A._______ s'est engagée à quitter le territoire suisse au terme de ses études, conformément à ce que requiert l'OASA en son art. 23 al. 2 let. a, cette déclaration d'intention, n'emportant aucun effet juridique, ne saurait constituer une garantie définitive quant à la sortie effective de Suisse de l'intéressée à l'échéance de l'autorisation de séjour qui lui serait éventuellement octroyée. Lorsqu'il se penche sur la question du retour au pays d'origine, le Tribunal procède en réalité à une appréciation permettant de déterminer le comportement futur de l'intéressée, en se basant sur des indices fondés sur sa situation personnelle, familiale et professionnelle, ainsi que sur une évaluation de son comportement une fois en Suisse. Ces divers aspects doivent, de plus, être examinés dans le contexte de la situation générale prévalant dans le pays de provenance de la requérante, dans la mesure où il ne faut pas perdre de vue qu'une situation politiquement, socialement ou économiquement moins favorisée que celle que connaît la Suisse peut s'avérer déterminante lorsqu'est prise la décision de retourner dans sa patrie, surtout après avoir séjourné plusieurs années en Suisse.</w:t>
      </w:r>
    </w:p>
    <w:p>
      <w:r>
        <w:rPr>
          <w:b/>
        </w:rPr>
        <w:t>E. 8.2</w:t>
      </w:r>
    </w:p>
    <w:p>
      <w:r>
        <w:t>En l'occurrence, la recourante, jeune femme âgée de vingt-quatre ans et célibataire, n'a pas fait valoir de charges familiales ni d'attaches particulières la liant au Cameroun. Elle a mentionné, preuves à l'appui, avoir obtenu, en 2005 et 2008, deux diplômes, soit un certificat d'aptitude professionnelle (CAP) en couture et un brevet professionnel (BP) dans ce même domaine, et, sans autre précision, "avoir intégré des ateliers de couture locaux". Dans ces circonstances, on ne peut faire reproche à l'ODM d'avoir des doutes s'agissant du retour de A._______ au Cameroun à l'issue de son cursus estudiantin. Cette appréciation est encore renforcée par les disparités socioéconomiques entre le Cameroun, d'une part, et la Suisse, d'autre part. A ce titre, il convient de souligner qu'avec un PIB par habitant de US$ 1'324 en 2008, environ trente fois inférieur à celui de la Suisse, le Cameroun demeure un pays économiquement faible nonobstant un taux de croissance annuelle d'environ 3 %, d'importantes réserves de pétrole et des ressources naturelles abondantes. Le chômage, en particulier des personnes jeunes, y est en outre élevé (sources: www.diplomatie.gouv.fr &gt; pays zones géo &gt; Cameroun &gt; Présentation, état au 6 novembre 2009, consulté le 17 février 2010).</w:t>
      </w:r>
    </w:p>
    <w:p>
      <w:r>
        <w:rPr>
          <w:b/>
        </w:rPr>
        <w:t>E. 8.3</w:t>
      </w:r>
    </w:p>
    <w:p>
      <w:r>
        <w:t>De plus, plusieurs éléments du dossier montrent que le programme de formation présenté par la recourante est différent de celui décrit par l'école CANVAS SA. En effet, dans une déclaration écrite du 4 septembre 2008, A._______ affirme désirer devenir "une grande couturière". Pour cela, elle prévoit décrocher, en quatre ans, un bachelor DEES MOD, option modélisme-couture (cf. plan d'études communiqué le 2 septembre 2008). Selon l'école CANVAS SA, "cette formation [le bachelor DEES MOD] s'adresse aux étudiants qui désirent se former aux métiers de la mode tout en s'assurant la reconnaissance de leur titre au niveau européen. [...] En outre, cette formation comprend la participation à une sélection de concours de design, à des activités extra-scolaires formatrices, ouvrant ainsi les portes du monde professionnel international aux étudiants" (cf. site internet de l'école CANVAS SA, www.canvas.ch &gt; Cursus &gt; Mode &gt; Formations en Mode &gt; Bachelor Style et Mode, consulté le 16 février 2010). La présentation du contenu de la formation - option "Mode et Couture" - montre que ce cursus permet d'acquérir des connaissances plus spécifiques dans les domaines du patronage, du moulage, de la gradation, de la couture et de la confection (cf. site internet de l'école CANVAS SA, www.canvas.ch, op.cit., consulté le 16 février 2010). L'école CANVAS SA, quant à elle, dans deux courriers respectivement datés du 17 octobre 2008 et du 23 avril 2009, relève que les études envisagées par la recourante sont celles permettant d'obtenir un "Graduate de l'Art, du Style et de la Mode" (Graduate DAS MOD), formation d'une durée de trois ans, à plein temps, permettant l'obtention d'un diplôme comparable à un certificat fédéral de capacité (CFC) de créateur de vêtements, "s'adressant aux étudiants ayant terminé leur scolarité obligatoire et désirant s'orienter vers l'un des nombreux métiers des Arts et Techniques de la Mode, aussi bien au niveau de la création que de la production" (cf. site internet de l'école CANVAS SA, www.canvas.ch &gt; Cursus &gt; Mode &gt; Formations en Mode &gt; Graduate, consulté le 16 février 2010). Au regard de ce qui précède, force est de constater l'existence d'une divergence entre le souhait, exprimé par A._______, de suivre des études menant à l'obtention d'un "Bachelor DEES MOD" et les déclarations écrites de l'école CANVAS SA, faisant état de l'inscription de la recourante à une autre filière d'études, aboutissant à un "Graduate DAS MOD", filières aux débouchés différents. Cette divergence dans le choix de la formation envisagée, ayant pour conséquences principales de rendre impossible la détermination exacte du plan d'études et la durée de ces dernières, ne permet pas au Tribunal d'apprécier favorablement le comportement futur de A._______ De plus, on ne saurait négliger le fait que le respect du programme de formation, sur la base duquel l'autorisation de séjour est octroyée, demeure une condition sine qua non pour le renouvellement annuel de ladite autorisation. Si, dès l'entame de la formation, le plan d'études n'est pas clairement déterminé, une appréciation objective quant au respect de celui-ci deviendra impossible à effectuer.</w:t>
      </w:r>
    </w:p>
    <w:p>
      <w:r>
        <w:rPr>
          <w:b/>
        </w:rPr>
        <w:t>E. 8.4</w:t>
      </w:r>
    </w:p>
    <w:p>
      <w:r>
        <w:t>En conséquence, c'est à raison que l'autorité intimée a retenu que la sortie de A._______ de Suisse au terme de ses études devait être considérée comme insuffisamment assurée.</w:t>
      </w:r>
    </w:p>
    <w:p>
      <w:r>
        <w:rPr>
          <w:b/>
        </w:rPr>
        <w:t>E. 9</w:t>
      </w:r>
    </w:p>
    <w:p>
      <w:r>
        <w:t>Sur un autre plan, la recourante a indiqué, dans le cadre de la procédure de première instance, les coordonnées d'un garant, nommé C._______. Dans le cadre de la procédure de recours, A._______ n'a plus fait mention de ce garant et a transmis une adresse de notification en Suisse correspondant à une autre personne, nommée B._______. Cet élément laisse dès lors subsister un doute sur les impératifs requis par l'art. 27 al. 1 let. b et c LEtr, savoir de disposer, d'une part, d'un logement approprié et, d'autre part, des moyens financiers nécessaires. Cette question peut toutefois rester indécise, la condition de l'art. 27 al. 1 let. d LEtr n'étant, comme cela a été démontré plus haut (cf. ci-dessus, consid. 8), pas remplie.</w:t>
      </w:r>
    </w:p>
    <w:p>
      <w:r>
        <w:rPr>
          <w:b/>
        </w:rPr>
        <w:t>E. 10.1</w:t>
      </w:r>
    </w:p>
    <w:p>
      <w:r>
        <w:t>Cela étant, après une appréciation de l'ensemble des circonstances de la présente cause, le Tribunal, à l'instar de l'autorité intimée, arrive à la conclusion que A._______ ne remplit pas toutes les conditions de l'art. 27 al. 1 LEtr.</w:t>
      </w:r>
    </w:p>
    <w:p>
      <w:r>
        <w:rPr>
          <w:b/>
        </w:rPr>
        <w:t>E. 10.2</w:t>
      </w:r>
    </w:p>
    <w:p>
      <w:r>
        <w:t>Il n'y a dès lors pas lieu de traiter de l'opportunité de la décision attaquée, les conditions légales n'étant en tout état de cause pas réunies.</w:t>
      </w:r>
    </w:p>
    <w:p>
      <w:r>
        <w:rPr>
          <w:b/>
        </w:rPr>
        <w:t>E. 11</w:t>
      </w:r>
    </w:p>
    <w:p>
      <w:r>
        <w:t>Au regard de ce qui précède, c'est à raison que l'ODM a refusé d'approuver l'octroi, par le canton de Vaud, d'une autorisation de séjour pour études en faveur de la recourante. A._______ n'obtenant pas d'autorisation de séjour, c'est également à bon droit que l'ODM a refusé de lui délivrer une autorisation d'entrée destinée à lui permettre de se rendre en Suisse pour y étudier. Il s'ensuit que la décision querellée ne viole pas le droit fédéral. Partant, elle doit être maintenue. En conséquence, le recours, mal fondé, est rejeté.</w:t>
      </w:r>
    </w:p>
    <w:p>
      <w:r>
        <w:rPr>
          <w:b/>
        </w:rPr>
        <w:t>E. 12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