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C-2944/2009 vom 11. Januar 2012</w:t>
      </w:r>
    </w:p>
    <w:p>
      <w:r>
        <w:t>Bundesverwaltungsgericht, 2012-01-11, DE</w:t>
      </w:r>
    </w:p>
    <w:p>
      <w:r>
        <w:rPr>
          <w:b/>
        </w:rPr>
        <w:t xml:space="preserve">Quelle: </w:t>
      </w:r>
      <w:r>
        <w:t>https://mcp.opencaselaw.ch/entscheid/bvger_C-2944_2009</w:t>
      </w:r>
    </w:p>
    <w:p>
      <w:r>
        <w:t>FR: TAF C-2944/2009 du 11 janvier 2012</w:t>
      </w:r>
    </w:p>
    <w:p>
      <w:r>
        <w:t>IT: TAF C-2944/2009 del 11 gennaio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einzutreten, soweit sie das Einreiseverbot betrifft (vgl. Art. 49 ff. VwVG). Das Gesuch um Erteilung einer Aufenthaltsbewilligung bildet nicht Gegenstand des vorliegenden Verfahrens, weshalb darauf nicht einzutreten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3.1</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Der Beschwerdeführer ist nicht Bürger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der Beschwerdeführer besitzt derzeit auch kein Aufenthaltsrecht in einem Schengenstaat. Die Ausschreibung im SIS erfolgte daher zu Recht.</w:t>
      </w:r>
    </w:p>
    <w:p>
      <w:r>
        <w:rPr>
          <w:b/>
        </w:rPr>
        <w:t>E. 4.1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weswegen sich für den Beschwerdeführer im Ergebnis nichts ändert (Urteil des Bundesverwaltungsgerichts C-2681/2010 vom 6. Mai 2011 E. 5.1 mit Hinweis).</w:t>
      </w:r>
    </w:p>
    <w:p>
      <w:r>
        <w:rPr>
          <w:b/>
        </w:rPr>
        <w:t>E. 4.2</w:t>
      </w:r>
    </w:p>
    <w:p>
      <w:r>
        <w:t>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w:t>
      </w:r>
    </w:p>
    <w:p>
      <w:r>
        <w:rPr>
          <w:b/>
        </w:rPr>
        <w:t>E. 4.3</w:t>
      </w:r>
    </w:p>
    <w:p>
      <w:r>
        <w:t>Laut dem Urteil des Tribunal d'Arrondissement de Lausanne vom 23. August 2007 war der Beschwerdeführer in Zusammenarbeit mit diversen Mitgliedern seiner Familie und zwei weiteren Männern im Zeitraum von Ende 2005 bis Anfang August 2006 an einem beträchtlichen Handel von Heroin und Kokain beteiligt, indem er es lagerte, transportierte, damit Handel betrieb, es erwarb und verkaufte. Es handelte sich dabei um eine Drogenmenge von mehreren Kilos. Der Beschwerdeführer spielte bei diesen Geschäften zunehmend eine grössere Rolle und kontaktierte die Grossisten direkt, um grosse Mengen Drogen zu erhalten. Zusätzlich hat er sich Mitte Juli und Anfang August 2006 der Geldwäscherei schuldig gemacht, indem er kleinere Geldscheine, welche aus dem Drogenhandel stammten, gegen grössere wechselte oder der Familie eines Komplizen in den Kosovo sandte. Das Gericht erachtet sein Verschulden als schwer. Der Beschwerdeführer war selber nicht drogenabhängig und sein Verhalten beruhte auf Gewinnstrebigkeit.</w:t>
      </w:r>
    </w:p>
    <w:p>
      <w:r>
        <w:rPr>
          <w:b/>
        </w:rPr>
        <w:t>E. 4.4</w:t>
      </w:r>
    </w:p>
    <w:p>
      <w:r>
        <w:t>Ausländische Straftäter, die durch Verbreitung harter Drogen die Gesundheit anderer gefährden oder beeinträchtigen, sind während einer gewissen Zeit von der Schweiz fernzuhalten. Damit soll der weiteren Ausbreitung des verbotenen Handels mit Betäubungsmitteln entgegengewirkt werden. Aufgrund der Zunahme solcher Taten ist zum Schutz der Allgemeinheit durch eine kontinuierliche und strenge Verwaltungspraxis zu verdeutlichen, dass schwere Widerhandlungen gegen das Betäubungsmittelgesetz mit langjährigen Fernhaltemassnahmen geahndet werden. Der Schutz der öffentlichen Sicherheit und Gesundheit ist dabei durch Abschreckung nicht nur des jeweiligen Straftäters, sondern auch anderer potenzieller Rechtsbrecher weitest möglich zu gewährleisten (vgl. BGE 131 II 352 E. 4.3.1 S. 359 f. mit Hinweis; Urteil des Bundesverwaltungsgerichts C-2681/2010 vom 6. Mai 2011 E. 5.4 mit Hinweis). Verurteilungen zu Freiheitsstrafen wegen Drogendelikten führten denn auch nach altem Recht regelmässig zur Anordnung einer Fernhaltemassnahme (siehe beispielsweise Urteile des Bundesverwaltungsgerichts C-8211/2007 vom 16. Mai 2008 E. 5.2 oder C-137/2006 vom 31. März 2008 E. 6.8). Die Voraussetzungen für ein Einreiseverbot gemäss Art. 67 Abs. 1 Bst. a AuG in der Fassung vom 1. Januar 2008 bzw. Art. 67 Abs. 2 Bst. a AuG in der Fassung vom 1. Januar 2011 sind - entgegen der Ansicht des Beschwerdeführers - zweifelsohne erfüllt.</w:t>
      </w:r>
    </w:p>
    <w:p>
      <w:r>
        <w:rPr>
          <w:b/>
        </w:rPr>
        <w:t>E. 4.5</w:t>
      </w:r>
    </w:p>
    <w:p>
      <w:r>
        <w:t>Weiter wurde der Beschwerdeführer wegen diverser Delikte gegen das SVG vom Untersuchungsrichteramt F._______ im Zeitraum vom 18. November 2004 bis zum 5. April 2005 vier Mal zu einer Geldbusse verurteilt. Die Restbussen wurden mit den Urteilen vom 8. August 2006 und 10. September 2007 zu insgesamt zehn Tagen Haft umgewandelt. Mit diesen Delikten hat der Beschwerdeführer ebenfalls gegen die öffentliche Sicherheit und Ordnung in der Schweiz verstossen (vgl. Art. 67 Abs. 2 Bst. a AuG).</w:t>
      </w:r>
    </w:p>
    <w:p>
      <w:r>
        <w:rPr>
          <w:b/>
        </w:rPr>
        <w:t>E. 4.6</w:t>
      </w:r>
    </w:p>
    <w:p>
      <w:r>
        <w:t>Zudem hat sich der Beschwerdeführer rechtswidrig in der Schweiz aufgehalten. Aus den Akten geht hervor, dass er sich nach Ablauf der Ausreisefrist (2. März 2009) bis zu seiner Ausschaffung am 9. April 2009 unbestrittenermassen weiterhin in der Schweiz aufhielt. Dieser Aufenthalt ist als rechtswidrig im Sinne von Art. 115 Abs. 1 Bst. b AuG zu bezeichnen (zum entsprechenden bis zum 31. Dezember 2007 geltenden Art. 23 Abs. 1 al. 4 ANAG vgl. VALENTIN ROSCHACHER, Die Strafbestimmungen des Bundesgesetzes über Aufenthalt und Niederlassung der Ausländer vom 26. März 1931 [ANAG], Diss. Chur/Zürich 1991, S. 42 ff.). Es steht ausser Zweifel, dass er durch das Nichtbefolgen der behördlich angesetzten Ausreisefrist und den illegalen Aufenthalt gegen die öffentliche Sicherheit und Ordnung in der Schweiz verstossen hat (vgl. Art. 67 Abs. 2 Bst. a AuG).</w:t>
      </w:r>
    </w:p>
    <w:p>
      <w:r>
        <w:rPr>
          <w:b/>
        </w:rPr>
        <w:t>E. 4.7</w:t>
      </w:r>
    </w:p>
    <w:p>
      <w:r>
        <w:t>Demzufolge hat der Beschwerdeführer im mehrfacher Hinsicht gegen die öffentliche Sicherheit und Ordnung im Sinne von Art. 67 Abs. 2 Bst. a AuG verstossen. 5.5.1 Des Weiteren war der Beschwerdeführer zeitweilig Sozialhilfeabhängig und hat zusätzlich durch die Ausschaffung Kosten verursacht. Die Botschaft zum AuG führt hierzu aus, ein Einreiseverbot solle insbesondere dann angeordnet werden, wenn die Gefahr bestehe, dass bei einer Wiedereinreise erneut Sozialhilfe- und Rückreisekosten entstünden (vgl. Botschaft, a.a.O., 3813). Eine Fernhaltemassnahme kann danach gegen mittellose ausländische Personen verhängt werden, welche bereits Sozialhilfekosten verursacht haben, da in diesen Fällen die Gefahr besteht, dass sie erneut auf sozialhilferechtliche Unterstützung angewiesen sein könnten. Ob eine solche Gefahr besteht, lässt sich naturgemäss nur anhand einer Prognose beurteilen, die sich auf das bisherige Verhalten der ausländischen Person abstützt. 5.2 Der Beschwerdeführer wurde zur Finanzierung seines Lebensunterhalts in der Schweiz zeitweilig von der Sozialhilfe unterstützt. Die Aus-schaffungshaft und seine Rückschaffung haben zusätzlich Kosten verursacht. Es besteht daher die ernstzunehmende Gefahr, dass der Beschwerdeführer im Falle einer Wiedereinreise erneut entsprechende Kosten verursachen würde. Hinzuzufügen ist, dass der Beschwerdeführer in der Schweiz Schulden (Verlustscheine und offene Betreibungen) in der Höhe von rund Fr. 115'400.-- hat. Ferner ist der Beschwerdeführer seiner Pflicht, Unterhaltsbeiträge für die Kinder zu bezahlen, bis zum heutigen Tag nicht nachgekommen. Insgesamt ist auch diese Voraussetzung für die Verhängung eines Einreiseverbots als erfüllt zu betrachten (vgl. Art. 67 Abs. 2 Bst. b AuG). 6.Hinzu kommt, dass der Beschwerdeführer in Ausschaffungshaft genommen und ausgeschafft werden musste, weshalb er auch diesbezüglich Gründe für die Verhängung einer Fernhaltemassnahme gesetzt hat (vgl. Art. 67 Abs. 2 Bst. c AuG). 7.Es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7.1 Mit Blick auf die Dauer der verhängten Massnahme von Belang erscheint, dass der Beschwerdeführer aus rein finanziellen Motiven bereit war, durch Drogenhandel die Gesundheit einer Vielzahl von Menschen erheblichen Gefahren auszusetzen. Mitzuberücksichtigen gilt es ferner, dass er nicht selbständig vom Drogenhandel Abstand nahm, sondern erst infolge seiner Verhaftung. Laut Gerichtsurteil war seine Zusammenarbeit mit den Behörden während der Untersuchung sowie der Gerichtsverhandlung zwar bemerkenswert gut, dennoch wiegt sein Fehlverhalten aus präventivpolizeilicher Sicht sehr schwer. Unter dem spezifischen Aspekt des Ausländerrechts muss er daher über Jahre hinweg als Risikofaktor für die öffentliche Sicherheit und Ordnung betrachtet werden, was grundsätzlich ein unbefristetes Einreiseverbot bzw. eine Fernhaltemassnahme von über fünf Jahren rechtfertigt (vgl. Art. 67 Abs. 3 in fine AuG). 7.2 An persönlichen Interessen macht der Beschwerdeführer in seiner Rechtsmitteleingabe geltend, er hätte gemäss Art. 8 EMRK ein Recht darauf, mit seinen minderjährigen Kindern, die in der Schweiz eine Aufenthaltsbewilligung besitzen würden, zusammenzuleben. Wie bereits ausgeführt wurde (vgl. E. 1.3), ist das Aufenthaltsrecht nicht Gegenstand dieses Verfahrens und wurde bereits mit Beschwerdeentscheid der Polizei- und Militärdirektion des Kantons D._______ vom 31. Oktober 2008 (Verweigerung der Bewilligungsverlängerung und Wegweisung aus dem Gebiet des Kantons Bern) und mit der Verfügung des BFM vom 12. Januar 2009 (Ausdehnung der Wegweisung auf die ganze Schweiz und das Fürstentum Liechtenstein) rechtskräftig entschieden. Überdies wurde dem Beschwerdeführer die Obhut über seine Kinder entzogen und mit Beschluss der Stadt Thun vom 31. Oktober 2011 erst kürzlich bestätigt. Der Beschwerdeführer hat sich trotz seiner verantwortungsvollen Stellung als Ehemann seiner damals schwangeren Ehefrau und Vater zweier minderjähriger Kinder nicht von seinem strafbaren Verhalten abbringen lassen. Laut Urteil schreckte er auch nicht davor zurück, sich bei einem seiner Drogengeschäfte von seiner damaligen Ehefrau und seinen Kinder begleiten zu lassen (vgl. Urteil des Tribunal d'Arrondissement de Lausanne vom 23. August 2007, S. 8 und 15). Dieses Verhalten wirft ein denkbar schlechtes Licht auf ihn. Die nunmehr nachteiligen Auswirkungen sind allein seiner Handlungsweise zuzuschreiben. 7.3 Die Wirkung des Einreiseverbots besteht jedoch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Aus den Akten des Kindes- und Erwachsenenschutzes G.________ ist ersichtlich, dass der Beschwerdeführer von dieser Möglichkeit bereits Gebrauch gemacht hat. Mit Suspensionsverfügung vom 20. Mai 2011 wurde ihm ein 14-tägiger Besuch seiner Kinder in der Schweiz bewilligt. Laut den Akten ist das Zusammentreffen problemlos verlaufen. Der Kontakt zwischen ihm und seinen in der Schweiz lebenden Kinder kann im Übrigen auch auf andere Weise als durch Besuche in der Schweiz gepflegt werden (Briefverkehr, Telefonate, Videotelefonie). Eines dieser Kommunikationsmittel benutzt der Beschwerdeführer bereits regelmässig. So führt er mit seinen Kindern laut Akten Videotelefonate mit Skype. Der bestehende Obhutsentzug sowie das Fehlen eines dauerhaften Aufenthaltsrechts des Beschwerdeführers stehen häufigeren persönlichen Kontakten mit seinen Kindern in der Schweiz bereits entgegen. Unter diesen Umständen ist nicht ersichtlich, inwiefern das Einreiseverbot, das in erster Linie eine administrative Erschwernis darstellt, einen rechtfertigungsbedürftigen Eingriff in das von Art. 8 EMRK bzw. Art. 13 Abs. 1 der Bundesverfassung der Schweizerischen Eidgenossenschaft vom 18. April 1999 (BV, SR 101) geschützte Familienleben darstellen könnte, wie dies der Beschwerdeführer geltend macht. 7.4 Eine wertende Gewichtung der sich entgegenstehenden Interessen führt das Bundesverwaltungsgericht zum Schluss, dass das unbefristete Einreiseverbot auch im gegenwärtigen Zeitpunkt unter Berücksichtigung der gängigen Praxis in vergleichbaren Fällen eine verhältnismässige und angemessene Massnahme zum Schutz der öffentlichen Ordnung darstellt. Schliesslich bedeutet die fehlende Befristung nicht, dass die Massnahme für den Rest des Lebens Gültigkeit haben soll; ein Anspruch auf Überprüfung der Massnahme bei Wohlverhalten besteht im Allgemeinen etwa zehn Jahre nach Verbüssung der letzten Freiheitsstrafe (vgl. BVGE 2008/24 E. 4.3 und 6.2 je mit Hinweisen). Eine zuverlässige Prognose, wie lange ein relevantes öffentliches Sicherheitsbedürfnis anzunehmen ist, lässt sich in casu zum jetzigen Zeitpunkt nicht abgeben. Es ist vom Beschwerdeführer zu verlangen, sich vorerst weiterhin während geraumer Zeit im Ausland zu bewähren.</w:t>
      </w:r>
    </w:p>
    <w:p>
      <w:r>
        <w:rPr>
          <w:b/>
        </w:rPr>
        <w:t>E. 8</w:t>
      </w:r>
    </w:p>
    <w:p>
      <w:r>
        <w:t>Aus diesen Erwägungen ergibt sich, dass die angefochtene Verfügung im Lichte von Art. 49 VwVG nicht zu beanstanden ist. Die Beschwerde ist demzufolge - soweit darauf einzutreten ist - abzuweisen. 9.Entsprechend dem Ausgang des Verfahrens wird der unterliegende Beschwerdeführer kostenpflichtig (vgl. Art. 63 Abs. 1 VwVG, Art. 1, 2 und 3 Bst. b des Reglements über die Kosten und Entschädigungen vor dem Bundesverwaltungsgericht vom 21. Februar 2008 [VGKE, SR 173.320.2]).</w:t>
      </w:r>
    </w:p>
    <w:p>
      <w:r>
        <w:rPr>
          <w:b/>
        </w:rPr>
        <w:t>E. 10</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