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C-2942/2013 vom 17. Februar 2014</w:t>
      </w:r>
    </w:p>
    <w:p>
      <w:r>
        <w:t>Bundesverwaltungsgericht, 2014-02-17, FR</w:t>
      </w:r>
    </w:p>
    <w:p>
      <w:r>
        <w:rPr>
          <w:b/>
        </w:rPr>
        <w:t xml:space="preserve">Quelle: </w:t>
      </w:r>
      <w:r>
        <w:t>https://mcp.opencaselaw.ch/entscheid/bvger_C-2942_2013</w:t>
      </w:r>
    </w:p>
    <w:p>
      <w:r>
        <w:t>FR: TAF C-2942/2013 du 17 février 2014</w:t>
      </w:r>
    </w:p>
    <w:p>
      <w:r>
        <w:t>IT: TAF C-2942/2013 del 17 febbraio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et E._______ ont qualité pour recourir (art. 48 al. 1 PA). Présenté dans la forme et les délais prescrits par la loi, le recours est recevable (cf. art. 50 al. 1 et 52 al. 1 PA).</w:t>
      </w:r>
    </w:p>
    <w:p>
      <w:r>
        <w:rPr>
          <w:b/>
        </w:rPr>
        <w:t>E. 2</w:t>
      </w:r>
    </w:p>
    <w:p>
      <w:r>
        <w:t>Les recourantes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(ATAF 2012/21 consid. 5.1 p. 414 s., ATAF 2011/43 consid. 6.1 p. 886, ATAF 2011/1 consid. 2 p. 4).</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C-1450/2013 du 23 octobre 2013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voir également ATF 135 II 1 consid. 1.1 et ATAF 2009/27 consid. 3 et la jurisprudence citée).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4.2 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4.3 Cela est d'ailleurs corroboré par le Règlement (CE) no 810/2009 du Parlement européen et du Conseil du 13 juillet 2009 établissant un code communautaire des visas (code des visas [JO L 243 du 15 septembre 2009], modifié par l'art. 6 du règlement (UE) no 610/2013, loc. cit.),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 4.4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 4.5 Le Règlement (CE) no 539/2001 du Conseil du 15 mars 2001 (JO L 81 du 21 mars 2001, p. 1-7) différencie, en son art. 1 par. 1 et 2, les ressortissants des Etats tiers selon qu'ils sont soumis ou non à l'obligation du visa. En tant que ressortissante de RDC, A._______ est soumise à l'obligation du visa.</w:t>
      </w:r>
    </w:p>
    <w:p>
      <w:r>
        <w:rPr>
          <w:b/>
        </w:rPr>
        <w:t>E. 5</w:t>
      </w:r>
    </w:p>
    <w:p>
      <w:r>
        <w:t>Dans la décision querellée, l'ODM a refusé d'autoriser l'entrée en Suisse de la prénommée au motif notamment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Au regard de la situation socio-économique prévalant en RDC, on ne saurait de prime abord écarter les craintes de l'autorité intimée de voir l'intéressée prolonger son séjour en Suisse ou dans l'Espace Schengen au-delà de la date d'échéance du visa sollicité. A ce propos, il faut prendre en considération la qualité de vie et les conditions économiques particulières que connaît l'ensemble de la population de la RDC. Avec un produit intérieur brut (PIB) par habitant de 290 USD en 2011, cet Etat demeure très en dessous des standards européens. Malgré un potentiel économique considérable, la RDC reste l'un des pays les plus pauvres de la planète. Pour l'année 2012, l'indice de développement humain (IDH), qui prend en compte la santé, l'éducation et le revenu des personnes, la classe en dernière position (à la 186ème place, à égalité avec le Niger), et la Suisse en 9ème position. Sur le plan politique et sécuritaire, la situation demeure également préoccupante (cf. aussi arrêts du Tribunal administratif fédéral C-6091/2012 du 12 septembre 2013 et C-4852/2011 du 20 mars 2013 consid. 6.1, ainsi que les sources citées). Dès lors, les conditions socio-économiques difficiles et l'instabilité prévalant en RDC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(cf. notamment les arrêts du Tribunal administratif fédéral C-3919/2012 du 16 janvier 2013 consid. 7 et C-3821/2011 du 28 février 2012 consid. 7.1).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p. 345).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aussi arrêt du Tribunal administratif fédéral C-4852/2011 précité, consid. 6.2, et les autres arrêts qui y sont mentionnés).</w:t>
      </w:r>
    </w:p>
    <w:p>
      <w:r>
        <w:rPr>
          <w:b/>
        </w:rPr>
        <w:t>E. 5.3</w:t>
      </w:r>
    </w:p>
    <w:p>
      <w:r>
        <w:t>Il ressort du dossier qu'A._______ est actuellement âgée de 65 ans et sans activité professionnelle, dans la mesure où elle a atteint l'âge de la retraite (cf. lettre d'opposition du 4 mars 2013). Dès lors, les incohérences relevées par l'ODM dans la décision querellée concernant la durée du séjour envisagé par rapport aux obligations professionnelles de la prénommée et la décision d'octroi de congé de son employeur ne sont plus déterminantes en l'état actuel de la cause. Indépendamment de ceci, il apparaît que l'invitée, selon son curriculum vitae et les documents produits, est célibataire, mère d'un enfant (à savoir sa fille, majeure, qui est son hôte en Suisse) et qu'elle n'a pas démontré ni allégué avoir des responsabilités familiales au pays, telles que la présence d'enfants dont elle devrait assurer l'éducation ou de parents qui souffriraient de problèmes de santé nécessitant son soutien au quotidien. Le Tribunal ne saurait dès lors retenir que l'intéressée bénéficie en RDC d'attaches professionnelles ou familiales susceptibles de la dissuader de prolonger son séjour sur le territoire helvétique au-delà de l'échéance du visa requis. Même si l'on devait admettre qu'A._______ dispose réellement d'un réseau familial en RDC - affirmation qui n'a été étayée par aucun moyen de preuve - cet élément ne suffirait pas, à lui seul, à garantir son retour, au vu de ce qui précède ainsi que du contexte socioéconomique et politique dans lequel se trouve la RDC et de la présence de sa fille en Suisse. Certes, les recourantes ont fait valoir que la prénommée assumait une charge ecclésiastique qui ne pouvait lui permettre de long séjour à l'étranger (cf. lettres d'oppositions des 4 et 6 mars 2013, recours du 14 mai 2013, p. 2). Le Tribunal constate cependant qu'à part un certificat délivré le 20 décembre 2007 par un "Apôtre, Visionnaire et Chef spirituel du Ministère Apostolique de l'Association Internationale pour la Foi en Action" mentionnant que l'intéressée avait été ordonnée pasteure le 7 août 2005, les activités ecclésiastiques de cette dernière n'ont été décrites ou établies par aucun document versé en cause. Par ailleurs, A._______ a renoncé à fournir à l'Ambassade de Suisse à Kinshasa tout justificatif ou moyen de preuve concernant ses moyens financiers ou le salaire qu'elle percevait à l'époque en tant qu'agent de la fonction publique en déclarant que la lettre d'invitation et la déclaration de prise en charge de sa fille de ses frais de voyage et de séjour suffisaient. Il est aussi à relever que l'hôte en Suisse n'a fourni aucun document permettant d'établir sa situation financière ou ses moyens de subsistance. Dès lors, force est de constater qu'aucun élément du dossier ne permet de considérer que la situation patrimoniale d'A._______ serait de nature à l'inciter à retourner dans son pays d'origine à l'échéance de l'autorisation sollicitée.</w:t>
      </w:r>
    </w:p>
    <w:p>
      <w:r>
        <w:rPr>
          <w:b/>
        </w:rPr>
        <w:t>E. 5.4</w:t>
      </w:r>
    </w:p>
    <w:p>
      <w:r>
        <w:t>Tenant compte des éléments qui précèdent, le Tribunal ne saurait exclure qu'A._______ n'envisage de prolonger son séjour sur le territoire helvétique à l'échéance de son visa, voire n'entame une nouvelle existence dans ce pays et il ne saurait dès lors reprocher à l'ODM d'avoir confirmé le refus d'autorisation d'entrée dans l'Espace Schengen.</w:t>
      </w:r>
    </w:p>
    <w:p>
      <w:r>
        <w:rPr>
          <w:b/>
        </w:rPr>
        <w:t>E. 6</w:t>
      </w:r>
    </w:p>
    <w:p>
      <w:r>
        <w:t>Le Tribunal relève par ailleurs que le désir exprimé par A._______, au demeurant parfaitement compréhensible, de rendre visite à sa fille domiciliée en Suisse, ne constitue pas à lui seul un motif justifiant l'octroi d'un visa en sa faveur, à propos duquel elle ne saurait au demeurant se prévaloir d'aucun droit (cf. consid. 3).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les intéressées de se voir, dès lors qu'elles peuvent tout aussi bien se rencontrer hors de Suisse.</w:t>
      </w:r>
    </w:p>
    <w:p>
      <w:r>
        <w:rPr>
          <w:b/>
        </w:rPr>
        <w:t>E. 7</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De même, l'intention que peut manifester une personne de retourner dans son pays à l'issue de son séjour, voire son engagement formel à le faire, n'ont aucune force juridique (ATAF 2009/27 précité consid. 9) et ne suffisent pas non plus à garantir que son départ interviendra dans les délais prévus.</w:t>
      </w:r>
    </w:p>
    <w:p>
      <w:r>
        <w:rPr>
          <w:b/>
        </w:rPr>
        <w:t>E. 8</w:t>
      </w:r>
    </w:p>
    <w:p>
      <w:r>
        <w:t>Par ailleurs, les recourantes n'ont pas invoqué de raisons susceptibles de justifier la délivrance d'un visa à validité territoriale limitée (cf. consid. 4.4 ci-avant). Dans ce contexte, il convient de relever que le refus d'autorisation d'entrée prononcé à l'endroit d'A._______ ne constitue pas une ingérence inadmissible dans l'exercice du droit au respect de la vie privée et familiale consacré par l'art. 8 de la Convention du 4 novembre 1950 de sauvegarde des droits de l'homme et des libertés fondamentales (CEDH, RS 0.101). La protection conférée par la disposition susmentionnée vise avant tout les relations familiales au sens étroit, soit les relations entre époux et les relations entre parents et enfants mineurs vivant en ménage commun (famille dite "nucléaire" [cf. notamment ATF 137 I 113 consid. 6.1 et jurisprudence citée; voir également l'ATAF 2007/45 consid. 5.3]). Le cercle des bénéficiaires de cette disposition ne se limite cependant pas à ces seules personnes. L'art. 8 CEDH protège en effet également d'autres liens de parenté, soit par exemple les relations entre grands-parents et petits-enfants, entre oncles/tantes et neveux/nièces, pour autant que les personnes concernées entretiennent une relation suffisamment étroite, intacte et réellement vécue (cf. ATF 135 I 143, consid. 3.1, 120 Ib 257 consid. 1d; voir également les arrêts du Tribunal fédéral 2C_50/2012 du 28 septembre 2012 consid. 5.3 et 2C_56/2012 du 24 septembre 2012 consid. 5.4.1, ainsi que l'arrêt du Tribunal administratif fédéral C-4852/2011 du 20 mars 2013 consid. 7.2.1 et les références citées). Cela étant, il n'y a pas atteinte à la vie familiale si l'on peut attendre des membres de la famille qu'ils réalisent leur vie de famille à l'étranger (cf. notamment ATF 135 I 153 consid. 2.1 et 135 I 143 consid. 2.2; voir également l'ATAF 2011/48 consid. 6.3.1). Dès lors, une violation de cette norme ne peut en principe être admise que si les membres d'une même famille n'ont - durablement ou, à tout le moins, pendant une période prolongée - aucune possibilité de se rencontrer dans un pays autre que la Suisse (cf. à ce sujet l'arrêt du Tribunal administratif fédéral C-4852/2011 précité, ibid. et les références citées). Or, en l'occurrence, rien ne permet de penser que les intéressées se trouveraient durablement dans l'impossibilité de se rencontrer ailleurs qu'en Suisse. Certes, l'invitée a affirmé que sa fille ne pouvait venir lui rendre visite en RDC, du fait que cette dernière était "sur la liste noire des services des renseignements congolais". Cependant, ces allégations qui, au demeurant, n'ont été ni reprises par E._______, ni étayées par des moyens de preuve probants, ne les empêcheraient nullement de se rencontrer dans un autre pays. A cela s'ajoute que les intéressées peuvent également maintenir leurs contacts par d'autres moyens tels que la communication téléphonique, les visioconférences et la correspondance. Il est encore à noter que si la situation médicale de l'invitée l'avait exigé, il n'aurait tenu qu'à E._______ d'entamer des démarches pour revoir sa mère plus tôt.</w:t>
      </w:r>
    </w:p>
    <w:p>
      <w:r>
        <w:rPr>
          <w:b/>
        </w:rPr>
        <w:t>E. 9</w:t>
      </w:r>
    </w:p>
    <w:p>
      <w:r>
        <w:t>Enfin, c'est ici le lieu de rappeler qu'afin de déterminer si le requérant présente les garanties nécessaires à sa sortie de Suisse, l'autorité se base sur la situation générale prévalant dans le pays de provenance de l'intéressé ainsi que sur sa situation personnelle. On ne saurait donc reprocher à l'autorité de prendre une décision contraire à la loi lorsqu'elle se base sur les indices précités (cf. consid. 5.1 ci-avant). De même, lorsqu'ils statuent en tenant compte de l'ensemble de ces circonstances, l'ODM et le Tribunal établissent des distinctions qui se justifient pleinement, de sorte qu'on ne saurait y voir une violation de l'interdiction de la discrimination (sur la notion de discrimination, cf. ATF 134 I 49 consid. 3.1 et la jurisprudence citée).</w:t>
      </w:r>
    </w:p>
    <w:p>
      <w:r>
        <w:rPr>
          <w:b/>
        </w:rPr>
        <w:t>E. 10</w:t>
      </w:r>
    </w:p>
    <w:p>
      <w:r>
        <w:t>Compte tenu des considérants exposés ci-dessus, le Tribunal estime qu'il ne saurait être reproché à l'ODM d'avoir refusé la délivrance d'une autorisation d'entrée dans l'Espace Schengen en faveur d'A._______. Il s'ensuit que, par sa décision du 23 avril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recourantes,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