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C-293/2006 vom 27. August 2007</w:t>
      </w:r>
    </w:p>
    <w:p>
      <w:r>
        <w:t>Bundesverwaltungsgericht, 2007-08-27, FR</w:t>
      </w:r>
    </w:p>
    <w:p>
      <w:r>
        <w:rPr>
          <w:b/>
        </w:rPr>
        <w:t xml:space="preserve">Quelle: </w:t>
      </w:r>
      <w:r>
        <w:t>https://mcp.opencaselaw.ch/entscheid/bvger_C-293_2006</w:t>
      </w:r>
    </w:p>
    <w:p>
      <w:r>
        <w:t>FR: TAF C-293/2006 du 27 août 2007</w:t>
      </w:r>
    </w:p>
    <w:p>
      <w:r>
        <w:t>IT: TAF C-293/2006 del 27 agosto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n'étant pas recevable en raison de la matière (cf. art. 83 let. c ch. 5 de la loi fédérale du 17 juin 2005 sur le Tribunal fédéral [LTF, RS 173.110]), le Tribunal administratif fédéral statue en dernière instance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qui est directement touchée par la décision entreprise, a qualité pour recourir (cf. art. 20 al. 1 LSEE et art. 48 PA). Son recours, présenté dans la forme et les délais prescrits par la loi, est recevable (cf.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Il en découle que le Tribunal administratif fédéral n'a pas seulement à déterminer si la décision de l'administration respecte les règles de droit, mais également si elle constitue une solution adéquate eu égard aux faits (cf. André Moser, in Moser/Uebersax, Prozessieren vor eidgenössischen Rekurskommissionen, Bâle et Francfort-sur-le-Main 1998, ch. 2.59 ss). Dans sa décision, il prend en considération l'état de fait et de droit régnant au moment où il statue (cf.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A titre préliminaire, le Tribunal administratif fédéral précise que la présente procédure ne concerne que la question de l'assujettissement aux mesures de limitation du nombre des étrangers de la seule recourante et non pas directement celle de l'octroi éventuel de titres de séjour à elle-même ou son fils. Au demeurant, la compétence d'accorder une autorisation de séjour appartient aux seules autorités cantonales (cf. art. 15 LSEE en relation avec l'art. 51 OLE). Partant, les conclusions de la recourante, en tant qu'elles tendent à l'octroi d'autorisations de séjour à elle-même et à son fils, s'avèrent irrecevables.</w:t>
      </w:r>
    </w:p>
    <w:p>
      <w:r>
        <w:rPr>
          <w:b/>
        </w:rPr>
        <w:t>E. 4</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4.2</w:t>
      </w:r>
    </w:p>
    <w:p>
      <w:r>
        <w:t>A ce propos, il sied de relever que l'autorité fédérale n'est pas liée par l'appréciation émise par le canton de Genève dans sa proposition du 25 avril 2005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5.1</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5.2</w:t>
      </w:r>
    </w:p>
    <w:p>
      <w:r>
        <w:t>En outre, 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en tout; il sera difficile d'admettre le cas d'extrême gravité, par exemple, uniquement pour les parents ou pour les enfants. Ainsi le problème des enfants est un aspect, certes important, de l'examen de la situation de la famille, mais ce n'est pas le seul critère. En principe, il y a donc lieu de porter une appréciation d'ensemble, tenant compte de tous les membres de la famille (cf. ATF 123 II 125 consid. 4a). En l'occurrence, bien que seule A._______ soit concernée par la présente procédure, on ne saurait toutefois considérer sa situation isolément, eu égard à l'esprit de la jurisprudence du Tribunal fédéral citée ci-dessus. Il apparaît en effet que son sort et celui de son fils sont étroitement liés et que, partant, on ne saurait porter une appréciation sur ses seules conditions d'existence en ignorant les conséquences qu'un éventuel refus de l'exempter des mesures de limitation aurait sur son fils, compte tenu du fait qu'ils forment une communauté de destin.</w:t>
      </w:r>
    </w:p>
    <w:p>
      <w:r>
        <w:rPr>
          <w:b/>
        </w:rPr>
        <w:t>E. 6</w:t>
      </w:r>
    </w:p>
    <w:p>
      <w:r>
        <w:t>Le 25 avril 2005, l'OCP GE a soumis le dossier de l'enfant B._______ à l'ODM en vue de l'approbation à l'octroi d'une autorisation d'établissement en application de l'art. 8 CEDH. Compte tenu des liens existant entre cet enfant et son père - de nationalité espagnole et bénéficiaire d'une autorisation d'établissement -, il apparaît en effet que celui-là peut éventuellement prétendre à la protection garantie par cette disposition conventionnelle (cf. ATF 130 II 281 consid. 3.1, 129 II 215 consid. 4, 126 II 335 consid. 2a), voire à l'application de l'art. 3 de l'annexe I de l'ALCP (cf. les arrêts de la Cour de justice des Communautés européennes [CJCE] du 17 septembre 2002 en l'affaire Baumbast et R. [C 413/1999, Rec. 2002, p. I-7091] et du 15 mars 1989 en l'affaire Echternach et Mortitz [389/87 et 390/87, Rec. 1989, p. 723] en relation avec l'arrêt du Tribunal fédéral 2A.475/2004 du 25 mai 2005 consid. 4 ainsi que ATF 130 II 113 consid. 7). Comme le Tribunal fédéral a eu l'occasion de le préciser, le seul fait de pouvoir se réclamer de la nationalité d'un Etat contractant de l'ALCP est un critère suffisant pour présumer de l'existence d'un droit à un titre de séjour (cf. ATF 130 II 493 consid. 1.1), bien que cela ne démontre en rien l'existence effective d'un droit étendu conféré par l'ALCP (cf. ATF 131 II 329 consid. 3.1 et arrêt du Tribunal fédéral 2A.169/2004 du 31 août 2004 consid. 6). En l'occurrence, il appert que l'enfant B._______ est de nationalité espagnole, de sorte que l'on peut présumer à son sujet de l'existence d'un droit à séjourner en Suisse. Toutefois, tel qu'il ressort de l'ensemble des éléments portés à la connaissance du Tribunal administratif fédéral, l'autorité intimée, nonobstant l'invitation du DFJP, n'a toujours pas statué sur la requête du canton de Genève. Ainsi, il apparaît qu'en l'état, le sort de B._______ n'est pas suffisamment déterminé pour être pris en considération dans l'examen de la situation de sa mère où il aura une influence directe et majeure (cf. supra consid. 5.2). Il apparaît ainsi que la décision entreprise a été prononcée de manière prématurée, en ce sens que l'ensemble des faits pertinents n'était pas encore déterminé à suffisance et qu'il ne l'est pas non plus aujourd'hui dans le cadre de la présente procédure.</w:t>
      </w:r>
    </w:p>
    <w:p>
      <w:r>
        <w:rPr>
          <w:b/>
        </w:rPr>
        <w:t>E. 7</w:t>
      </w:r>
    </w:p>
    <w:p>
      <w:r>
        <w:t>La décision dont est recours doit donc être annulée et l'affaire renvoyée à l'ODM pour instruction et nouvelle décision dans le sens des considérants. En conséquence, le recours est admis dans la mesure où il est recevable. Compte tenu de l'issue de la cause, il n'y a pas lieu de mettre de frais de procédure à la charge de la recourante (cf. art. 63 al. 1 PA et art. 1 à 3 de la règlement du 11 décembre 2006 concernant les frais, dépens et indemnités fixés par le Tribunal administratif fédéral [FITAF, RS 173.320.2]). Bien qu'elle succombe, l'autorité inférieure n'a pas à supporter les frais de la procédure (art. 63 al. 2 PA). Obtenant partiellement gain de cause, la recourante a droit à des dépens (art. 64 al. 1 PA en relation avec l'art. 7 FITAF). Au vu de l'ensemble des circonstances du cas, de l'importance de l'affaire, du degré de difficulté de cette dernière et de l'ampleur du travail accompli par Me Muriel Pierrehumbert, le Tribunal administratif fédéral estime, au regard des art. 8ss FITAF, que le versement d'un montant de Fr. 1'300.--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