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C-2933/2011 vom 25. Juni 2012</w:t>
      </w:r>
    </w:p>
    <w:p>
      <w:r>
        <w:t>Bundesverwaltungsgericht, 2012-06-25, IT</w:t>
      </w:r>
    </w:p>
    <w:p>
      <w:r>
        <w:rPr>
          <w:b/>
        </w:rPr>
        <w:t xml:space="preserve">Quelle: </w:t>
      </w:r>
      <w:r>
        <w:t>https://mcp.opencaselaw.ch/entscheid/bvger_C-2933_2011</w:t>
      </w:r>
    </w:p>
    <w:p>
      <w:r>
        <w:t>FR: TAF C-2933/2011 du 25 juin 2012</w:t>
      </w:r>
    </w:p>
    <w:p>
      <w:r>
        <w:t>IT: TAF C-2933/2011 del 25 giugno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 Questi testi sono applicabili al caso concreto nella loro versione in vigore per la Svizzera fino al 31 marzo 2012.</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 Deve essere ancora precisato che non sono invece applicabili le norme della 6a revisione della LAI (primo pacchetto di misure), in vigore dal 1° gennaio 2012 (RU 2011 5659; FF 2010 1603).</w:t>
      </w:r>
    </w:p>
    <w:p>
      <w:r>
        <w:rPr>
          <w:b/>
        </w:rPr>
        <w:t>E. 4</w:t>
      </w:r>
    </w:p>
    <w:p>
      <w:r>
        <w:t>Il ricorrente contesta la validità materiale della decisione dell'UAIE, chiedendo che gli sia riconosciuto il diritto ad una rendita d'invalidità.</w:t>
      </w:r>
    </w:p>
    <w:p>
      <w:r>
        <w:rPr>
          <w:b/>
        </w:rPr>
        <w:t>E. 5</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per un anno (art. 36 LAI nel tenore in vigore fino al 31 dicembre 2007). A partire dal 1° gennaio 2008, è tuttavia necessario avere versato contributi durante almeno 3 anni (art. 36 LAI nel tenore modificato il 6 ottobre 2006).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dell'ALC, la limitazione prevista dall'art. 28 cpv. 1 ter LAI (art.29 cpv. 4 LAI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il ricorrente ha cessato la sua attività di muratore autonomo il 31 dicembre 2008 e, da allora, non ha più ripreso alcuna attività lucrativa, dimodoché occorre fondarsi sui documenti medici all'incarto per valutare la sua capacità lavorativa.</w:t>
      </w:r>
    </w:p>
    <w:p>
      <w:r>
        <w:rPr>
          <w:b/>
        </w:rPr>
        <w:t>E. 8.2</w:t>
      </w:r>
    </w:p>
    <w:p>
      <w:r>
        <w:t>Ora, nella detta documentazione e, principalmente, nella perizia particolareggiata E 213 del dott. D._______, medico dell'INPS, del 22 luglio 2010 (doc. 30), nella presa di posizione del dott. G._______, medico dell'UAIE, dell'8 gennaio 2011 (doc. 33), nonché nei rapporti dei dottori E._______, del 17 maggio 2011, F._______, del 18 maggio e 20 settembre 2011, e C._______, del 19 settembre 2011, esibiti nell'ambito della presente procedura, sono diagnosticati una plessopatia del braccio destro, una sindrome di Parsonage-Turner, degli esiti da rottura della cuffia dei rotatori bilaterale, una discopatia cervicale, una sindrome del tunnel carpale bilaterale, una sindrome depressiva ansiosa, un'obesità, una gonartrosi e una coxartrosi bilaterali, un'ipertensione arteriosa, un'ipoacusia bilaterale, come pure degli esiti da melena dovuta ad una gastrite erosiva antrale con varici esofagee di primo grado.</w:t>
      </w:r>
    </w:p>
    <w:p>
      <w:r>
        <w:rPr>
          <w:b/>
        </w:rPr>
        <w:t>E. 8.3</w:t>
      </w:r>
    </w:p>
    <w:p>
      <w:r>
        <w:t>Il collegio giudicante constata che questa diagnosi non è univoca agli atti. A questo proposito, il dott. G._______ ha espressamente considerato come elementi diagnostici, nella sua presa di posizione dell'8 gennaio 2011, unicamente la plessopatia, la rottura bilaterale della cuffia rotatoria, la sindrome depressiva ansiosa e gli esiti da melena, rilevando inoltre brevemente che l'artrosi alle ginocchia e, tutt'al più ("allenfalls"), alle anche, non è invalidante. Nelle sue susseguenti prese di posizione del 20 marzo, 31 luglio e 15 ottobre 2011 (doc. 54, 59 e 61), egli non ha più formulato esplicitamente alcuna diagnosi, limitandosi a passare in rivista e, solamente in parte, a valutare, gli elementi diagnostici avanzati nei diversi rapporti medici italiani prodotti dal ricorrente. Così, a proposito della sindrome di Parsonage-Turner, diagnosticata dai dottori D._______ e F._______, il medico dell'UAIE ha affermato a più riprese, in modo generale, che si tratta di un'amiotrofia neurogena della spalla, di un'infiammazione acuta del plesso brachiale di causa ignota, di un'affezione rara che interviene normalmente prima dei trent'anni e che essa in definitiva, nel caso concreto, appare poco plausibile. Per quanto attiene alla gonartrosi e alla coxartrosi, pure citate dai dottori D._______ e F._______, il dott. G._______ ha brevemente esposto, nella sua presa di posizione del 31 luglio 2011 (doc. 59), che esse sono compatibili con le attività da lui stesso definite come confacenti. Anche rispetto al problema relativo alle cuffie rotatorie, di cui peraltro non è assodato se si tratti di una rottura, di una frattura oppure se sussistano unicamente degli esiti dell'una o dell'altra, il medico dell'UAIE ha affermato che la misura della rottura a destra non è stata propriamente valutata ("nicht gerade überzeugend eingestuft") e che la rottura a sinistra risulta essere ad ogni modo trascurabile ("unwesentlich"), senza spiegarne minimamente le ragioni. Per quanto riguarda i problemi urologici, menzionati dai dottori F._______ e Menoni, il dott. G._______ si è limitato ad affermare, sempre nella sua presa di posizione del 31 luglio 2011, che essi, attraverso il previsto trattamento, dovrebbero molto verosimilmente migliorarsi ("dadurch ist überwiegend wahrscheinlich eine Besserung zu erwarten").</w:t>
      </w:r>
    </w:p>
    <w:p>
      <w:r>
        <w:rPr>
          <w:b/>
        </w:rPr>
        <w:t>E. 8.4</w:t>
      </w:r>
    </w:p>
    <w:p>
      <w:r>
        <w:t>Da quanto precede il collegio giudicante conclude che, allo stato attuale dell'incarto, non è possibile distinguere ciò che risulta essere parte integrante della diagnosi (affezioni oggettivamente constatate) da ciò che rientra invece puramente nell'anamnesi del ricorrente (affezioni soggettivamente riportate da quest'ultimo), e che le considerazioni del dott. G._______, il cui contenuto si riduce essenzialmente nella traduzione in tedesco dei rapporti medici esibiti dal ricorrente, con sporadiche valutazioni in corsivo delle affermazioni in essi esposte, non solo non permettono di superare questa incongruenza, ma nemmeno consentono di stabilire in che misura le patologie oggettivamente constatate influiscano sulla capacità lavorativa del ricorrente in occupazioni confacenti, essendo pacifico peraltro che l'attività di muratore non è più esigibile. A proposito delle attività adeguate, indicate dal medico dell'UAIE nella sua presa di posizione dell'8 gennaio 2011 (doc. 33.1), il collegio giudicante è del parere che, tenuto conto in particolare delle patologie interessanti le spalle, la schiena e gli arti inferiori (anche le ginocchia), le attività di cassiere, venditore di biglietti, addetto alla ricezione e preposto all'elaborazione di dati, tutte concepite in posizione seduta ("sitzende Tätigkeit"), non appaiono, ad ogni modo allo stato attuale dei documenti medici all'incarto, proponibili, e che pure le occupazioni di portinaio o sorvegliante di cantieri, di parcheggi o in musei, implicanti la posizione seduta con cambiamenti della stessa ("sitzende Tätigkeit und/oder mit Positionswechsel"), non sembrano senz'altro compatibili, perlomeno da quanto si può evincere attualmente dai dati medici agli atti, con le affezioni alle anche e alle ginocchia di cui soffre il ricorrente.</w:t>
      </w:r>
    </w:p>
    <w:p>
      <w:r>
        <w:rPr>
          <w:b/>
        </w:rPr>
        <w:t>E. 9</w:t>
      </w:r>
    </w:p>
    <w:p>
      <w:r>
        <w:t>Per i motivi sopraesposti, il ricorso deve quindi essere parzialmente accolto, la decisione avversata annullata e la causa rinviata all'UAIE in virtù dell'art. 61 cpv. 1 PA . Secondo quest'ultima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considerano le contraddizioni di cui fa stato l'incarto (DTF 137 V 210, consid. 4.4.1.4). In concreto, l'UAIE dovrà quindi provvedere a completare l'istruttoria dal punto di vista medico mediante una nuova perizia pluridisciplinare relativa agli aspetti ortopedici, reumatologici, neurologici e di medicina interna, che evidenzierà chiaramente la diagnosi, con e senza influenza sulla capacità lavorativa, e fisserà il grado di quest'ultima in occupazioni confacenti, di cui descriverà dettagliatamente il tipo di azioni esigibili. L'UAIE sottoporrà quindi l'intero incarto al proprio servizio medico, il quale quantificherà la capacità lavorativa dettagliando e giustificando le proprie conclusioni. Una volta che il servizio medico si sarà pronunciato in questo senso, l'UAIE dovrà esaminare in che misura il ricorrente è eventualmente atto a trarre profitto (capacità di guadagno) dalla capacità lavorativa residua in attività adeguate, disponendo, al bisogno, i provvedimenti d'integrazioni idonei. È solamente dopo avere operato questo esame che l'UAIE effettuerà, se del caso, un adeguato e circostanziato raffronto dei redditi, tenendo conto, per quanto concerne la riduzione per circostanze personali, della giurisprudenza federale in materia (in particolare, DTF 126 V 75), ed emanerà quindi una nuova decisione impugnabile.</w:t>
      </w:r>
    </w:p>
    <w:p>
      <w:r>
        <w:rPr>
          <w:b/>
        </w:rPr>
        <w:t>E. 10</w:t>
      </w:r>
    </w:p>
    <w:p>
      <w:r>
        <w:t>Secondo l'art. 63 cpv. 1 PA, le spese processuali sono di regola messe a carico della parte soccombente. In concreto, visto l'esito della procedura, non sono prelevate spese processuali e l'anticipo di Fr. 400.-, versato il 30 novembre 2011,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1'000.-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