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C-2930/2010 vom 9. Juni 2011</w:t>
      </w:r>
    </w:p>
    <w:p>
      <w:r>
        <w:t>Bundesverwaltungsgericht, 2011-06-09, FR</w:t>
      </w:r>
    </w:p>
    <w:p>
      <w:r>
        <w:rPr>
          <w:b/>
        </w:rPr>
        <w:t xml:space="preserve">Quelle: </w:t>
      </w:r>
      <w:r>
        <w:t>https://mcp.opencaselaw.ch/entscheid/bvger_C-2930_2010</w:t>
      </w:r>
    </w:p>
    <w:p>
      <w:r>
        <w:t>FR: TAF C-2930/2010 du 9 juin 2011</w:t>
      </w:r>
    </w:p>
    <w:p>
      <w:r>
        <w:t>IT: TAF C-2930/2010 del 9 giugno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concernant la loi sur les étrangers du 8 mars 2002, FF 2002, p. 3531; voir également ATF 135 II 1 consid. 1.1).</w:t>
      </w:r>
    </w:p>
    <w:p>
      <w:r>
        <w:rPr>
          <w:b/>
        </w:rPr>
        <w:t>E. 3.2</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est notamment indiqué que lors de l'examen d'une demande de visa, il doit être procédé à une vérification des conditions d'entrée et à une évaluation des risques (art. 21 du code des visas), et que la possibilité d'une consultation préalable des autorités centrales d'autres Etats membres est réservée (art. 22 al. 1 du code des visas).</w:t>
      </w:r>
    </w:p>
    <w:p>
      <w:r>
        <w:rPr>
          <w:b/>
        </w:rPr>
        <w:t>E. 3.3</w:t>
      </w:r>
    </w:p>
    <w:p>
      <w:r>
        <w:t>Le Règlement (CE) no 539/2001 du Conseil du 15 mars 2001 (JO L 81 du 21 mars 2001, p. 1-7) différencie, en son art. 1 par. 1 et 2, les ressortissants des Etats tiers selon qu'ils sont soumis ou non à l'obligation du visa. X._______, du fait de sa nationalité, est soumis à l'obligation du visa.</w:t>
      </w:r>
    </w:p>
    <w:p>
      <w:r>
        <w:rPr>
          <w:b/>
        </w:rPr>
        <w:t>E. 4</w:t>
      </w:r>
    </w:p>
    <w:p>
      <w:r>
        <w:t>Dans la décision attaquée, l'ODM a refusé d'autoriser l'entrée de X._______ dans l'Espace Schengen au motif que l'Ambassade de Suisse à Beyrouth avait soumis la demande de visa à la procédure de consultation prévue par l'art. 17 par. 2 CAAS, qu'à l'issue de cette consultation, il était apparu que l'un des Etats Schengen avait émis une objection à la délivrance d'un tel visa et que les autorités suisses, à l'instar des autres parties contractantes, étant tenues par le résultat de cette consultation en application de l'art. 12 al. 2 let. e OEV, aucun visa Schengen ne pouvait être délivré à l'intéressé.</w:t>
      </w:r>
    </w:p>
    <w:p>
      <w:r>
        <w:rPr>
          <w:b/>
        </w:rPr>
        <w:t>E. 4.1</w:t>
      </w:r>
    </w:p>
    <w:p>
      <w:r>
        <w:t>En premier lieu, il est à constater qu'au moment où l'intéressé a déposé sa demande de visa (cf. consid. B), la CAAS était encore pleinement en vigueur, les art. 9 à 17 de cette convention ayant été remplacés par le code des visas dès le 5 avril 2010 (cf. art. 56 par. 1 et art. 58 par. 2 du code des visas), sous réserve de l'art. 32 par. 2 et 3 dudit code, lui-même en vigueur depuis le 5 avril 2011 (cf. art. 58 par. 5 du code des visas).</w:t>
      </w:r>
    </w:p>
    <w:p>
      <w:r>
        <w:rPr>
          <w:b/>
        </w:rPr>
        <w:t>E. 4.2</w:t>
      </w:r>
    </w:p>
    <w:p>
      <w:r>
        <w:t>Aux termes de l'art. 5 par. 1 CAAS, l'entrée sur les territoires des Parties Contractantes, pour un séjour n'excédant pas trois mois, peut être accordée à l'étranger qui remplit les conditions ci-après : a) posséder un document ou des documents valables permettant le franchissement de la frontière, déterminés par le Comité Exécutif; b) être en possession d'un visa valable si celui-ci est requis; c) présenter le cas échéant les documents justifiant de l'objet et des conditions du séjour envisagé et disposer des moyens de subsistance suffisants, tant pour la durée du séjour envisagé que pour le retour dans le pays de provenance ou le transit vers un État tiers dans lequel son admission est garantie, ou être en mesure d'acquérir légalement ces moyens; d) ne pas être signalé aux fins de non-admission; e) ne pas être considéré comme pouvant compromettre l'ordre public, la sécurité nationale ou les relations internationales de l'une des Parties Contractantes. Quant à l'art. 17 par. 2 CAAS (repris dans l'actuelle réglementation à l'art. 22 par. 1 du code des visas), il prévoyait que le Comité Exécutif précisait les cas dans lesquels la délivrance d'un visa était subordonnée à la consultation de l'autorité centrale de la Partie Contractante saisie, ainsi que, le cas échéant, des autorités centrales des autres Parties Contractantes.</w:t>
      </w:r>
    </w:p>
    <w:p>
      <w:r>
        <w:rPr>
          <w:b/>
        </w:rPr>
        <w:t>E. 4.3</w:t>
      </w:r>
    </w:p>
    <w:p>
      <w:r>
        <w:t>En application de l'ancien art. 12 al. 3 OEV, l'Ambassade de Suisse à Beyrouth a communiqué à l'intéressé, le 24 septembre 2009, un refus informel de visa en précisant qu'une décision susceptible de recours pouvait être exigée de l'ODM. Pour motiver ce refus informel, l'ambassade précitée a rempli un formulaire, le même jour, en cochant la case indiquant comme motif : "Refus d'un ou plusieurs des Etats membres de l'Union européenne". Cela étant, le Tribunal constate que si la demande de visa du prénommé a fait l'objet d'une procédure de consultation - comme le soutiennent l'Ambassade de Suisse à Beyrouth et l'ODM - il n'est cependant pas établi qu'elle le fut en application de l'art. 17 par. 2 CAAS. En effet, interpellée à ce sujet par l'autorité de céans, l'ambassade précitée n'a pas déclaré de manière explicite qu'elle avait agi dans le cadre de cette base légale dans le cas d'espèce et s'est limitée dans sa réponse du 27 août 2010 à des remarques d'ordre général sur la procédure de consultation. Par ailleurs, les refus de visas suite à une consultation au sens de l'art. 17 par. 2 CAAS sont limités par l'art. 5 par. 1 CAAS aux cas de figure mentionnés aux lettres d et e, à savoir les situations dans lesquelles le requérant est signalé aux fins de non-admission (let. d) ou est considéré comme pouvant compromettre l'ordre public, la sécurité nationale ou les relations internationales de l'une des Parties Contractantes (let. e). Le formulaire destiné à notifier un tel refus (que ce soit celui utilisé concrètement dans le cas d'espèce ou celui actuellement en vigueur) contient au demeurant les rubriques correspondant formellement à ces deux motifs. Le Tribunal relève que si le refus de visa tel qu'il a été opéré in casu avait été fondé sur l'un des motifs prévus à l'art. 5 par. 1 let. d ou e CAAS, l'Ambassade de Suisse à Beyrouth aurait manifestement dû cocher la case correspondante du formulaire, ce qu'elle n'a pas fait. Au contraire, la représentation suisse a indiqué un autre motif de refus ("Refus d'un ou plusieurs des Etats membres de l'Union européenne"), qui, il convient de le souligner, est étranger aux conditions fixées par la disposition applicable à l'époque, à savoir l'art. 5 par. 1 CAAS. Cette manière de procéder ne permet pas de déterminer le motif exact qui est à l'origine de la prétendue objection d'un ou plusieurs Etats membres de l'Union européenne. Invitée par l'autorité de céans à préciser sur quelle source elle s'était fondée pour valider son choix et la raison exacte invoquée par l'Etat membre de l'Union européenne pour justifier le refus, l'Ambassade précitée a fait savoir qu'elle ne pouvait pas répondre à cette question. Dans ses observations du 28 juin 2010, l'ODM relève que la liste des Etats tiers pour lesquels une consultation préalable est requise était confidentielle à l'époque de la demande (ce qui n'est plus le cas actuellement au sens de l'art. 53 par. 1 let. d et al. 2 et de l'art. 47 par. 1 let. g du code des visas) et qu'a fortiori, un Etat membre ne peut (pouvait) pas révéler le nom d'un autre Etat membre qui aurait formulé une objection dans le cadre de la procédure de consultation. Il n'apparaît pas nécessaire de résoudre in casu la question de savoir si ce raisonnement peut être (encore) suivi dans la mesure où un tel raisonnement ne pourrait de toute évidence porter que sur les motifs de refus expressément prévus par la CAAS, à l'époque où les dispositions topiques qu'elle contenait à ce sujet étaient en vigueur, à savoir, comme relevé ci-dessus, le signalement aux fins de non-admission et le risque de compromettre l'ordre public, la sécurité nationale ou les relations internationales de l'une des Parties Contractantes. Or, comme constaté, ce n'est pas pour l'un de ces deux motifs que l'Ambassade de Suisse à Beyrouth a refusé informellement le visa demandé par le recourant. Dans ces circonstances, c'est donc en vain également que l'ODM se fonde sur l'art. 12 al. 2 let. e OEV en relation avec l'art. 17 par. 2 CAAS pour justifier tant l'objection à la délivrance d'un visa Schengen que l'impossibilité de communiquer le motif exact du refus de visa.</w:t>
      </w:r>
    </w:p>
    <w:p>
      <w:r>
        <w:rPr>
          <w:b/>
        </w:rPr>
        <w:t>E. 4.4</w:t>
      </w:r>
    </w:p>
    <w:p>
      <w:r>
        <w:t>En conclusion, le Tribunal ne peut que constater que la procédure telle qu'elle est prévue par les dispositions d'application de l'Accord Schengen n'a pas été respectée in casu. Cela étant, un visa Schengen ne peut cependant être accordé d'emblée, dans la mesure où il reste encore et nonobstant ce qui précède à déterminer s'il existe bien un motif de refus au sens de l'art. 32 al. 1 du code des visas, applicable depuis lors.</w:t>
      </w:r>
    </w:p>
    <w:p>
      <w:r>
        <w:rPr>
          <w:b/>
        </w:rPr>
        <w:t>E. 4.5</w:t>
      </w:r>
    </w:p>
    <w:p>
      <w:r>
        <w:t>Dans ces circonstances, il convient d'annuler la décision querellée, de renvoyer le dossier à l'ODM, lequel invitera l'Ambassade de Suisse à Beyrouth à procéder conformément aux dispositions applicables en l'espèce (cf. art. 32 al. 2 du code des visas), qui imposent l'utilisation du formulaire mentionné à l'annexe VI du code des visas. Dans ce contexte, il conviendra de préciser cas échéant de manière claire les motifs d'un éventuel refus du visa eu égard à l'art. 32 al. 1 du code des visas. S'il n'existe pas d'objection de la part d'un Etat membre de l'Union européenne à la délivrance du visa sollicité, il conviendra d'examiner encore si les autres conditions mises à l'octroi d'un visa sont remplies en l'occurrence.</w:t>
      </w:r>
    </w:p>
    <w:p>
      <w:r>
        <w:rPr>
          <w:b/>
        </w:rPr>
        <w:t>E. 5.1</w:t>
      </w:r>
    </w:p>
    <w:p>
      <w:r>
        <w:t>Vu ce qui précède, la décision querellée est annulée et le dossier renvoyé à l'ODM pour instruction et nouvelle décision au sens des considérants susvisés. Au vu de ce qui précède, il n'est pas nécessaire de donner suite à la réquisition contenue dans le courrier du 23 mai 2011.</w:t>
      </w:r>
    </w:p>
    <w:p>
      <w:r>
        <w:rPr>
          <w:b/>
        </w:rPr>
        <w:t>E. 5.2</w:t>
      </w:r>
    </w:p>
    <w:p>
      <w:r>
        <w:t>Cela étant, compte tenu des circonstances du cas d'espèce, le recourant doit être considéré comme ayant obtenu gain de cause et le recours doit être admis (cf. en ce sens l'arrêt du Tribunal fédéral 2C_60/2011 du 12 mai 2011 consid. 2.4 et la jurisprudence citée). Obtenant gain de cause, le recourant n'a pas à supporter de frais de procédure (art. 63 al. 1 PA a contrario et art. 63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1 200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