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C-2922/2024 vom 13. Juni 2024</w:t>
      </w:r>
    </w:p>
    <w:p>
      <w:r>
        <w:t>Bundesverwaltungsgericht, 2024-06-13, DE</w:t>
      </w:r>
    </w:p>
    <w:p>
      <w:r>
        <w:rPr>
          <w:b/>
        </w:rPr>
        <w:t xml:space="preserve">Quelle: </w:t>
      </w:r>
      <w:r>
        <w:t>https://mcp.opencaselaw.ch/entscheid/bvger_C-2922_2024</w:t>
      </w:r>
    </w:p>
    <w:p>
      <w:r>
        <w:t>FR: TAF C-2922/2024 du 13 juin 2024</w:t>
      </w:r>
    </w:p>
    <w:p>
      <w:r>
        <w:t>IT: TAF C-2922/2024 del 13 giugno 2024</w:t>
      </w:r>
    </w:p>
    <w:p>
      <w:pPr>
        <w:pStyle w:val="Heading2"/>
      </w:pPr>
      <w:r>
        <w:t>Regeste</w:t>
      </w:r>
    </w:p>
    <w:p>
      <w:r>
        <w:t>Alters- und Hinterlassenenversicherung (Übriges)</w:t>
      </w:r>
    </w:p>
    <w:p>
      <w:pPr>
        <w:pStyle w:val="Heading2"/>
      </w:pPr>
      <w:r>
        <w:t>Erwägungen</w:t>
      </w:r>
    </w:p>
    <w:p>
      <w:r>
        <w:rPr>
          <w:b/>
        </w:rPr>
        <w:t>E. 1</w:t>
      </w:r>
    </w:p>
    <w:p>
      <w:r>
        <w:t>Auf die Beschwerde wird nicht eingetreten.</w:t>
      </w:r>
    </w:p>
    <w:p>
      <w:r>
        <w:rPr>
          <w:b/>
        </w:rPr>
        <w:t>E. 2</w:t>
      </w:r>
    </w:p>
    <w:p>
      <w:r>
        <w:t>Die Sache (betreffend Akteneinsicht) wird zur weiteren Behandlung an das Verwaltungsgericht des Kantons I._______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das Verwaltungsgericht des Kantons I._______ sowie das BSV.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