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C-2921/2015 vom 12. Oktober 2015</w:t>
      </w:r>
    </w:p>
    <w:p>
      <w:r>
        <w:t>Bundesverwaltungsgericht, 2015-10-12, DE</w:t>
      </w:r>
    </w:p>
    <w:p>
      <w:r>
        <w:rPr>
          <w:b/>
        </w:rPr>
        <w:t xml:space="preserve">Quelle: </w:t>
      </w:r>
      <w:r>
        <w:t>https://mcp.opencaselaw.ch/entscheid/bvger_C-2921_2015</w:t>
      </w:r>
    </w:p>
    <w:p>
      <w:r>
        <w:t>FR: TAF C-2921/2015 du 12 octobre 2015</w:t>
      </w:r>
    </w:p>
    <w:p>
      <w:r>
        <w:t>IT: TAF C-2921/2015 del 12 ottobre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die am Einspracheverfahren teilgenommen hat, ist gemäss Art. 48 Abs. 1 Bst. a VwVG beschwerdelegitimiert. Auch die weiteren, unter Art. 48 Abs. 1 Bst. b und c VwVG genannten Voraussetzungen liegen in ihrem Fall vor.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3.2</w:t>
      </w:r>
    </w:p>
    <w:p>
      <w:r>
        <w:t>Die angefochtene Verfügung betrifft das Visumsgesuch eines kosovarischen Staatsangehörigen. Da dieser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Insbesondere haben sie glaubhaft zu machen,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4.2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Kosovo zu diesen Staaten zählt, unterliegt der Gesuchsteller der Visumspflicht.</w:t>
      </w:r>
    </w:p>
    <w:p>
      <w:r>
        <w:rPr>
          <w:b/>
        </w:rPr>
        <w:t>E. 5.2</w:t>
      </w:r>
    </w:p>
    <w:p>
      <w:r>
        <w:t>Im vorliegenden Fall hat die Vorinstanz die fristgerechte und anstandslose Wiederausreise des Gesuchstellers als nicht gewährleistet betrachtet und dies sowohl mit der wirtschaftlichen Situation in seinem Heimatland als auch mit seinen persönlichen Verhältnissen begründet. Zu der somit im Vordergrund stehenden Frage der gesicherten Wiederausreise können jedoch lediglich Prognosen getroffen werden.</w:t>
      </w:r>
    </w:p>
    <w:p>
      <w:r>
        <w:rPr>
          <w:b/>
        </w:rPr>
        <w:t>E. 5.3</w:t>
      </w:r>
    </w:p>
    <w:p>
      <w:r>
        <w:t>Stellt man auf die Situation im Herkunftsland ab, so können Einreisegesuche von Personen aus Staaten bzw. Regionen mit politisch oder wirtschaftlich vergleichsweise ungünstigen Verhältnissen darauf hindeuten, dass deren persönliche Interessenlage nicht mit Ziel und Zweck einer befristeten Einreisebewilligung in Einklang steht. Obliegt einer gesuchstellenden Person demgegenüber eine besondere berufliche, gesellschaftliche oder familiäre Verantwortung im Heimatland, so kann dieser Umstand durchaus die Prognose für eine anstandslose Wiederausreise begünstigen. Umgekehrt muss bei Personen, die keine derartigen Verpflichtungen haben, das Risiko eines über die bewilligte Besuchsdauer hinausgehenden Verbleibs als hoch eingeschätzt werden.</w:t>
      </w:r>
    </w:p>
    <w:p>
      <w:r>
        <w:rPr>
          <w:b/>
        </w:rPr>
        <w:t>E. 6.1</w:t>
      </w:r>
    </w:p>
    <w:p>
      <w:r>
        <w:t>Obwohl Kosovo, vor allem im regionalen Vergleich, ein starkes Wirtschaftswachstum verzeichnet, ist die wirtschaftliche Lage - auch wenn bisher keine zuverlässigen Statistiken für das Jahr 2014 vorliegen - nach wie vor schwierig. Die Arbeitslosigkeit im Jahr 2013 lag offiziell bei über 30 %, eine Zahl, die aber aufgrund des grossen informellen Sektors zu relativieren ist. Der IWF ging für das Jahr 2013 von einem Bruttoinlandsprodukt von rund 2'800 Euro je Einwohner aus, womit Kosovo nicht nur als eines der ärmsten Länder Europas, sondern auch als das ärmste Land auf dem Balkan gilt. Zuverlässige Angaben über die Höhe der Transferleistungen aus dem Ausland fehlen jedoch; Schätzungen gehen bis zu etwa 500 Mio. Euro/Jahr. Diese Überweisungen, vor allem aus der kosovarischen Diaspora in Deutschland und in der Schweiz, stellen eine wichtige Einkommensquelle und damit einen bedeutenden Wirtschaftsfaktor dar (Quelle: www.auswaertiges-amt.de &gt; Aussen- und Europapolitik &gt; Länderinformationen &gt; Kosovo &gt; Wirtschaftspolitik, mit Hinweisen auf weitere Quellen; Stand: April 2015, besucht im September 2015). Aufgrund der geschilderten Situation ist der Wunsch nach Emigration, nicht zuletzt um die eigene finanzielle Existenz zu sichern, stark verbreitet.</w:t>
      </w:r>
    </w:p>
    <w:p>
      <w:r>
        <w:rPr>
          <w:b/>
        </w:rPr>
        <w:t>E. 6.2</w:t>
      </w:r>
    </w:p>
    <w:p>
      <w:r>
        <w:t>Der ledige Gesuchsteller ist 21 Jahre alt. Laut Auskünften seiner Gastgeberin lebt er bei seiner Mutter (vgl. Auskunftsformular der Migrationsbehörde des Kantons Luzern). Mit ihr und seiner mittlerweile in Deutschland wohnenden Schwester hielt er sich in den Jahren 1999 - 2003 in der Schweiz auf und musste das Land nach erfolglos durchlaufenem Asylverfahren im Alter von neuneinhalb Jahren wieder verlassen (vgl. Zentrales Migrationssystem [ZEMIS]). Mit seinem Visumsgesuch vom 17. Dezember 2014 hat er mehrere Bescheinigungen der Universität in Pristina vorgelegt, welche die Ernsthaftigkeit seines Studiums jedoch bezweifeln lassen. Eine Bescheinigung vom 9. Dezember 2014 bestätigt seine erstmalige Immatrikulation für das akademische Jahr 2013/2014 an der philologischen Fakultät, Abteilung für Deutsche Sprache und Literatur, als Teilzeit-Student; gleichzeitig bestätigt sie seine Einschreibung für das erste Semester 2014/2015 und das erste laufende Studienjahr. Einer weiteren Bescheinigung vom 15. Dezember 2014 ist zu entnehmen, dass er von Februar bis September 2014 vier Prüfungen abgelegt und dafür insgesamt 23 Kreditpunkte erhalten hat. Nach dem für Europa einheitlichen ECTS-Standard wären pro Semester bzw. Studienjahr jedoch 30 bzw. 60 Kreditpunkte erforderlich gewesen.</w:t>
      </w:r>
    </w:p>
    <w:p>
      <w:r>
        <w:rPr>
          <w:b/>
        </w:rPr>
        <w:t>E. 6.3</w:t>
      </w:r>
    </w:p>
    <w:p>
      <w:r>
        <w:t>Darauf, dass sich der Gesuchsteller eigentlich im zweiten Studienjahr befinden sollte und zu wenig Kreditpunkte gesammelt hat, hat auch die Botschaft bei der Prüfung seines Visumantrags hingewiesen und auf sein fehlendes Interesse am Studium geschlossen. Dies ist nachvollziehbar, zumal die geringe Anzahl von Kreditpunkten allenfalls bei zwingender Notwendigkeit zum Teilzeitstudium erklärbar wäre. Eine solche Notwendigkeit - die sich beispielsweise aus einer Berufstätigkeit ergeben könnte - ist beim Gesuchsteller aber nicht erkennbar.</w:t>
      </w:r>
    </w:p>
    <w:p>
      <w:r>
        <w:rPr>
          <w:b/>
        </w:rPr>
        <w:t>E. 6.4</w:t>
      </w:r>
    </w:p>
    <w:p>
      <w:r>
        <w:t>Auch die Beschwerdeführerin hat sich zu den näheren - insbesondere finanziellen - Lebensumständen ihres Gastes nicht geäussert. In ihrer Rechtsmitteleingabe macht sie geltend, der ablehnende Entscheid der Vorinstanz erscheine ihr sehr allgemein und die Begründung sei ebenfalls wenig fundiert; man dürfe das Visumsgesuch ihres Neffen nicht aufgrund allgemeiner Erfahrungen beurteilen. Damit verkennt die Beschwerdeführerin jedoch, dass angesichts der grossen Anzahl von Visumanträgen der persönliche Hintergrund der gesuchstellenden Personen nur dann eingehend berücksichtigt werden kann, wenn er auch offengelegt wird. Geschieht dies nicht oder nur teilweise, so kann die Vorinstanz ihren Entscheid mehr oder weniger nur auf die allgemeine Situation im Herkunftsland abstützen.</w:t>
      </w:r>
    </w:p>
    <w:p>
      <w:r>
        <w:rPr>
          <w:b/>
        </w:rPr>
        <w:t>E. 6.5</w:t>
      </w:r>
    </w:p>
    <w:p>
      <w:r>
        <w:t>Im vorliegenden Fall ist bei der Einreichung des Visumsgesuchs zum einen unklar geblieben, wie der Beschwerdeführer seinen Lebensunterhalt in Kosovo finanziert, zum anderen, welche dortigen Bindungen oder Verpflichtungen für seine Rückkehr sprechen könnten. Obwohl der vor-instanzliche Entscheid ausdrücklich diese gegen die Visumserteilung sprechenden Umstände nennt, nimmt die Gastgeberin in ihrer Beschwerde hierzu nicht konkret Stellung und bringt auch nichts vor, was zu einer anderen Einschätzung führen könnte. Die Erklärung, dass ihr Neffe im Heimatland einen Freundeskreis habe und studiere, reicht dafür nicht. Erst recht gilt dies angesichts des Eindrucks, dass er mit der Immatrikulation an der Universität seine Rückkehrabsicht glaubhaft zu machen versucht, womöglich aber gegenteilige Pläne hat.</w:t>
      </w:r>
    </w:p>
    <w:p>
      <w:r>
        <w:rPr>
          <w:b/>
        </w:rPr>
        <w:t>E. 6.6</w:t>
      </w:r>
    </w:p>
    <w:p>
      <w:r>
        <w:t>Die Beschwerdeführerin hat somit keine überzeugenden Gründe genannt, die für die anstandslose Wiederausreise ihres Gastes sprechen könnten. Vielmehr ist sie der Ansicht, dass ihre eigenen, gegenüber dem Kanton abgegebenen Erklärungen die Rückkehrbereitschaft ihres Neffen hinreichend belegen. Doch selbst wenn an ihrer aufrichtigen Überzeugung keine Zweifel bestehen, so kann darauf nicht abgestellt werden. Gastgeber können zwar für gewisse finanzielle Risiken im Zusammenhang mit einem Besuchsaufenthalt garantieren, nicht jedoch für die tatsächlichen Absichten und für ein bestimmtes Verhalten ihrer Gäste (vgl. BVGE 2009/27 E. 9).</w:t>
      </w:r>
    </w:p>
    <w:p>
      <w:r>
        <w:rPr>
          <w:b/>
        </w:rPr>
        <w:t>E. 7</w:t>
      </w:r>
    </w:p>
    <w:p>
      <w:r>
        <w:t>Gründe, die es erlauben würden, dem Gesuchsteller ein humanitäres Visum mit räumlich beschränkter Gültigkeit auszustellen, bestehen angesichts der fehlenden nahen Verwandtschaft zur Gastgeberin nicht.</w:t>
      </w:r>
    </w:p>
    <w:p>
      <w:r>
        <w:rPr>
          <w:b/>
        </w:rPr>
        <w:t>E. 8</w:t>
      </w:r>
    </w:p>
    <w:p>
      <w:r>
        <w:t>Mit der Vorinstanz ist somit davon auszugehen, dass der Gesuchsteller die Einreisevoraussetzungen (vgl. E. 4.1) nicht erfüllt. Der angefochtene Einspracheentscheid ist daher als rechtmässig zu bestätigen (vgl. Art. 49 VwVG) und die Beschwerde folglich abzuweisen.</w:t>
      </w:r>
    </w:p>
    <w:p>
      <w:r>
        <w:rPr>
          <w:b/>
        </w:rPr>
        <w:t>E. 9</w:t>
      </w:r>
    </w:p>
    <w:p>
      <w:r>
        <w:t>Bei diesem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