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C-2916/2009 vom 20. Januar 2010</w:t>
      </w:r>
    </w:p>
    <w:p>
      <w:r>
        <w:t>Bundesverwaltungsgericht, 2010-01-20, IT</w:t>
      </w:r>
    </w:p>
    <w:p>
      <w:r>
        <w:rPr>
          <w:b/>
        </w:rPr>
        <w:t xml:space="preserve">Quelle: </w:t>
      </w:r>
      <w:r>
        <w:t>https://mcp.opencaselaw.ch/entscheid/bvger_C-2916_2009</w:t>
      </w:r>
    </w:p>
    <w:p>
      <w:r>
        <w:t>FR: TAF C-2916/2009 du 20 janvier 2010</w:t>
      </w:r>
    </w:p>
    <w:p>
      <w:r>
        <w:t>IT: TAF C-2916/2009 del 20 gennaio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davanti al Tribunale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Nell'atto ricorsuale, l'interessata sostiene di non avere avuto la possibilità di difendersi e di non avere avuto l'occasione di esaminare l'integralità degli atti di causa, prevalendosi dunque di una violazione del diritto di essere sentita. Il Tribunale deve quindi preliminarmente esaminare tale conclusione formale.</w:t>
      </w:r>
    </w:p>
    <w:p>
      <w:r>
        <w:rPr>
          <w:b/>
        </w:rPr>
        <w:t>E. 3.1</w:t>
      </w:r>
    </w:p>
    <w:p>
      <w:r>
        <w:t>Il diritto di essere sentito è ancorato all'art. 29 cpv. 2 della Costituzione federale della Confederazione Svizzera del 18 aprile 1999 (Cost., RS 101) e, per quanto concerne la procedura amministrativa federale, esso è consacrato dagli art. 26 a 28 (diritto di esaminare gli atti), dagli art. 29 a 33 (diritto di essere sentito strictu sensu) e all'art. 35 PA (diritto di ottenere una decisione motivata). Tali disposizioni comprendono diverse garanzie costituzionali di procedura (cfr.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in particolare il diritto per la persona interessata di prendere conoscenza dell'incarto (cfr. DTF 132 II 485 consid. 3, 126 I 7 consid. 2b), la possibilità di esprimersi in merito agli elementi pertinenti prima che una decisione sia presa nei suoi confronti, di produrre delle prove pertinenti, d'ottenere che sia dato seguito alle sue offerte di prove rilevanti, di partecipare all'amministrazione delle prove essenziali o almeno di poter esprimersi sul loro risultato, allorquando questo è proprio ad influenzare la decisione da emanare (cfr. DTF 124 II 132 consid. 2b e giurisprudenza ivi citata). Il diritto di essere sentito non conferisce un diritto ad esprimersi oralmente di fronte all'autorità giudicante (cfr. DTF 130 II 425 consid. 2.1; 125 I 209 consid. 9b e riferimenti ivi citati nonché DTAF 2007/21 consid. 10.2).</w:t>
      </w:r>
    </w:p>
    <w:p>
      <w:r>
        <w:rPr>
          <w:b/>
        </w:rPr>
        <w:t>E. 3.2</w:t>
      </w:r>
    </w:p>
    <w:p>
      <w:r>
        <w:t>l diritto di essere sentito rappresenta una garanzia costituzionale di natura formale, la cui violazione deve essere esaminata d'ufficio ed implica in principio l'annullamento della decisione impugnata indipendentemente dalle possibilità di esito positivo del ricorso nel merito (cfr. DTF 132 V 387 consid. 5;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quale dispone di piena cognizione (cfr. DTF 133 I 201 consid. 2.2; DTF 130 II 530 consid. 7.3; DTF 126 V 130 consid. 2b; DTF 124 V 389 consid. 5a e 180 consid. 4a). Tuttavia, qualora il vizio costituisca una grave violazione di procedura, pur tenendo conto del principio dell'economia di procedura, è escluso che l'autorità di ricorso lo possa sanare (cfr. Lorenz Kneubühler, Gehörverletzung und Heilung, in: Zbl. 3/1998, p. 112 ss). Secondo la dottrina una violazione del diritto di essere sentito può essere sanata unicamente in casi di lieve gravità (cfr. Bernhard Waldmann/Jürg Bickel, op. cit., art. 29 nota 115; Patrick Sutter, op. cit., art. 29 nota 21 segg.). Ciò nonostante il Tribunale federale non ha escluso definitivamente la sanatoria del diritto di essere sentito anche nel caso di violazioni gravi (cfr. DTF 133 I 201 consid. 2.2; DTF 132 V 387 consid. 5.1). Queste decisioni sono state in parte criticate dalla dottrina (cfr. in particolare Patrick Sutter, op. cit., art. 29 nota 21; cfr. anche Bernhard Waldmann/Jörg Bickel, op. cit., art. 29 nota 116 nonché nota 125 segg.). Il principio dell'economica di procedura non può tuttavia che rivestire un ruolo secondario qualora il diritto di essere sentito venga sistematicamente violato dall'autorità inferiore anche in casi di lieve gravità. Occorre in effetti evitare che violazioni ripetute del diritto di essere sentito vengano automaticamente sanate, nel caso contrario, le garanzie di procedura previste nell'ambito della prima istanza si vedrebbero vuotate del loro senso (cfr. Patrick Sutter, op. cit., art. 29 PA, nota 18; cfr. anche Bernhard Waldmann/Jürg Bickel, op. cit., art. 29, nota 126; DTF 126 II 111 consid. 6b/aa con ulteriori riferimenti nonché le sentenze del Tribunale amministrativo federale C-8027/2008 del 2 settembre 2009 consid. 5.3, C-1618/2007 del 27 febbraio 2009 consid. 3.3 nonché C-3985/2007 del 2 febbraio 2009 consid. 4.3).</w:t>
      </w:r>
    </w:p>
    <w:p>
      <w:r>
        <w:rPr>
          <w:b/>
        </w:rPr>
        <w:t>E. 4.1</w:t>
      </w:r>
    </w:p>
    <w:p>
      <w:r>
        <w:t>Dalle risultanze agli atti emerge che l'autorità di prime cure ha pronunciato la decisione impugnata sulla base della richiesta telefonica della Polizia Cantonale dei Grigioni (cfr. preavviso dell'UFM del 9 ottobre 2009) e che l'interessata è stata resa edotta della decisione di divieto d'entrata nei suoi confronti il medesimo giorno in cui questa è stata emessa nonché notificata (cfr. interrogatorio della Polizia Cantonale dei Grigioni del 6 aprile 2009). Al punto 31. a pag. 6 del suddetto verbale d'interrogatorio l'interessata veniva informata che la Polizia degli stranieri del Cantone dei Grigioni era intenzionata a richiedere all'autorità competente un divieto d'entrata in Svizzera nei suoi confronti, valido con effetto immediato per la durata di due anni. Al punto seguente la ricorrente veniva informata che l'UFM aveva decretato un divieto d'entrata nelle suddette modalità di tempo e al punto 33. le veniva consegnata una conferma d'uscita da presentare al valico doganale al più tardi entro il giorno seguente alle ore 24:00.</w:t>
      </w:r>
    </w:p>
    <w:p>
      <w:r>
        <w:rPr>
          <w:b/>
        </w:rPr>
        <w:t>E. 4.2</w:t>
      </w:r>
    </w:p>
    <w:p>
      <w:r>
        <w:t>Ora, da una parte, a prescindere da qualsiasi altra considerazione, questo modo di procedere non può essere condiviso: una decisione concernente un divieto d'entrata non può essere emanata unicamente sulla base di una telefonata della Polizia cantonale competente. Ciò non corrisponde alle esigenze previste dalla giurisprudenza e dalla dottrina. Dall'altra parte, nella fattispecie risulta una grave violazione della garanzia procedurale menzionata che non può essere sanata nonostante il Tribunale disponga di una piena cognizione e nonostante il fatto che vi sia stato un ulteriore scambio di scritti nell'ambito della presente procedura. Da quanto emerso, l'interessata non era al corrente di un'eventuale emissione di una misura amministrativa nei suoi confronti prima di essere assunta a verbale e la garanzia procedurale in questione non può essere considerata ossequiata se la persona interessata ne è messa a conoscenza durante un interrogatorio della durata di circa due ore e mezzo al cui termine le viene poi rilasciata detta decisione. Dai considerandi precedenti risulta che tale procedura non è conforme ai criteri definiti dalla giurisprudenza e dalla dottrina. Nell'ambito di una misura così incisiva quale il divieto d'entrata che constringe la persona interessata a lasciare la Svizzera per un lasso di tempo relativamente lungo il diritto di essere sentiti riveste una considerevole importanza. Occorre inoltre tener conto che la sanatoria di tale diritto va di regola negata in presenza di una decisione non impugnabile mediante rimedi di diritto ordinari (cfr. DTAF 2007/30 consid. 8.3). Il fatto che la ricorrente abbia potuto esprimersi durante l'interrogatorio nonché il giorno successivo presso il Posto Guardie di confine a Chiasso, quando la relativa decisione era tuttavia già stata pronunciata, non può sanare tale violazione tanto più se si considera l'elevata componente di libertà di apprezzamento conferita all'UFM in ambito di decisioni di divieto d'entrata (cfr. DTF 104 Ib 129 consid. 7).</w:t>
      </w:r>
    </w:p>
    <w:p>
      <w:r>
        <w:rPr>
          <w:b/>
        </w:rPr>
        <w:t>E. 4.3</w:t>
      </w:r>
    </w:p>
    <w:p>
      <w:r>
        <w:t>Dalle considerazioni precedenti, ne discende che l'UFM, omettendo di concedere adeguatamente l'occasione di esprimersi prima di pronunciare la detta decisione ha violato il diritto di essere sentito della ricorrente. Tale vizio formale non può essere sanato e comporta l'annullamento della decisione impugnata.</w:t>
      </w:r>
    </w:p>
    <w:p>
      <w:r>
        <w:rPr>
          <w:b/>
        </w:rPr>
        <w:t>E. 5</w:t>
      </w:r>
    </w:p>
    <w:p>
      <w:r>
        <w:t>Di conseguenza il ricorso è accolto, la decisione del 6 aprile 2009 è annullata e la causa è rinviata all'autorità inferiore per nuova decisione.</w:t>
      </w:r>
    </w:p>
    <w:p>
      <w:r>
        <w:rPr>
          <w:b/>
        </w:rPr>
        <w:t>E. 6</w:t>
      </w:r>
    </w:p>
    <w:p>
      <w:r>
        <w:t>Visto l'esito della procedura, non si prelevano spese processuali (art. 63 cpv. 1 PA). In concreto si constata che l'interessata è patrocinata da un legale. Tenuto conto dell'insieme delle circostanze della fattispecie, della sua difficoltà, nonché della mole di lavoro svolto, il Tribunale ritiene che il versamento alla ricorrente di un'indennità di fr. 1'200.- a titolo di spese ripetibili appaia equa (art. 64 cpv. 1 PA in relazione con l'art. 7 e l'art. 14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