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C-2909/2006 vom 25. April 2008</w:t>
      </w:r>
    </w:p>
    <w:p>
      <w:r>
        <w:t>Bundesverwaltungsgericht, 2008-04-25, FR</w:t>
      </w:r>
    </w:p>
    <w:p>
      <w:r>
        <w:rPr>
          <w:b/>
        </w:rPr>
        <w:t xml:space="preserve">Quelle: </w:t>
      </w:r>
      <w:r>
        <w:t>https://mcp.opencaselaw.ch/entscheid/bvger_C-2909_2006</w:t>
      </w:r>
    </w:p>
    <w:p>
      <w:r>
        <w:t>FR: TAF C-2909/2006 du 25 avril 2008</w:t>
      </w:r>
    </w:p>
    <w:p>
      <w:r>
        <w:t>IT: TAF C-2909/2006 del 25 aprile 2008</w:t>
      </w:r>
    </w:p>
    <w:p>
      <w:pPr>
        <w:pStyle w:val="Heading2"/>
      </w:pPr>
      <w:r>
        <w:t>Regeste</w:t>
      </w:r>
    </w:p>
    <w:p>
      <w:r>
        <w:t>Assurance-invalidité (divers)</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du 17 juin 2005 sur le Tribunal administratif fédéral [LTAF, RS 173.32]).</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l'assurance-invalidité peuvent être contestées devant le Tribunal administratif fédéral conformément à l'art. 69 al. 1 let. b de la loi fédérale du 19 juin 1959 sur l'assurance-invalidité (LAI, RS 831.20). En revanche, les décisions des offices AI cantonaux peuvent faire l'objet d'un recours auprès du tribunal des assurances du domicile de l'office concerné (art. 69 al. 1 let. a LAI).</w:t>
      </w:r>
    </w:p>
    <w:p>
      <w:r>
        <w:rPr>
          <w:b/>
        </w:rPr>
        <w:t>E. 1.3</w:t>
      </w:r>
    </w:p>
    <w:p>
      <w:r>
        <w:t>En l'espèce, la décision sur opposition du 11 août 2006 a été rendue par un office AI cantonal. Contrairement à ce qui prévalait sous l'égide de la Commission fédérale de recours en matière d'assurance-vieillesse, survivants et invalidité pour les personnes résidant à l'étranger (voir art. 69 al. 2 LAI dans sa teneur en vigueur jusqu'au 31 décembre 2006), le Tribunal administratif fédéral ne serait donc plus compétent pour traiter la présente cause. Il faut toutefois constater que l'office AI cantonal n'était pas non plus compétent pour rendre la décision sur opposition. En effet, A._______ n'a jamais résidé en Suisse et n'y travaille plus depuis avril 2001. En ces circonstances, la décision sur opposition aurait dû être notifiée par l'OAIE (art. 40 al. 2 dernière phrase du règlement du 17 janvier 1961 sur l'assurance-invalidité [RAI, RS 831.201]), qui, d'ailleurs, a correctement envoyé la décision du 31 mars 2004, objet de l'opposition du 12 avril 2004. Or, si le Tribunal de céans devait se déclarer incompétent et transmettre la cause au tribunal cantonal concerné, ce dernier devrait annuler la décision du 11 août 2006 de l'office AI cantonal et la renvoyer à l'OAIE pour nouvelle décision. Par la suite, un recours contre la décision de l'OAIE devrait être interjeté auprès de l'autorité de céans. Par économie de procédure, tenant aussi compte du fait que la compétence de l'autorité de céans n'est pas contestée, il est opportun d'entrer en matière en la présente cause (pour un exemple voir ATAF du 18 octobre 2007 dans la cause C-2662/2006 qui renvoie à SVR 2005 IV no 39 consid. 3.3.2 e 4.2.1).</w:t>
      </w:r>
    </w:p>
    <w:p>
      <w:r>
        <w:rPr>
          <w:b/>
        </w:rPr>
        <w:t>E. 2</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3.1</w:t>
      </w:r>
    </w:p>
    <w:p>
      <w:r>
        <w:t>En vertu de l'art. 3 let. dbis PA la procédure en matière d'assurances sociales n'est pas régie par la PA dans la mesure où la loi fédérale du 6 octobre 2000 sur la partie générale du droit des assurances sociales (LPGA, RS 830.1) est applicable. L'art. 1 al. 1 LAI dispose que les dispositions de la LPGA s'appliquent à l'assurance-invalidité (art. 1a à 26bis et 28 à 70), à moins que la LAI ne déroge à la LPGA.</w:t>
      </w:r>
    </w:p>
    <w:p>
      <w:r>
        <w:rPr>
          <w:b/>
        </w:rPr>
        <w:t>E. 3.2</w:t>
      </w:r>
    </w:p>
    <w:p>
      <w:r>
        <w:t>Le recourant est touché par la décision attaquée et a un intérêt digne d'être protégé à ce qu'elle soit annulée ou modifiée (art. 59 LPGA). Partant, il a qualité pour recourir.</w:t>
      </w:r>
    </w:p>
    <w:p>
      <w:r>
        <w:rPr>
          <w:b/>
        </w:rPr>
        <w:t>E. 3.3</w:t>
      </w:r>
    </w:p>
    <w:p>
      <w:r>
        <w:t>Dans la mesure où le recours a été introduit dans le délai et la forme prescrits (art. 60 LPGA et art. 52 PA), il est entré en matière sur le fond du recours.</w:t>
      </w:r>
    </w:p>
    <w:p>
      <w:r>
        <w:rPr>
          <w:b/>
        </w:rPr>
        <w:t>E. 4</w:t>
      </w:r>
    </w:p>
    <w:p>
      <w:r>
        <w:t>S'agissant du droit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Pour les mêmes raisons, les dispositions relatives à la 5ème révision, entrée en vigueur le 1er janvier 2008 (RO 2007 5129), ne sont pas prises en considération. Les dispositions de la LAI et de son règlement d'exécution seront donc citées dans la teneur en vigueur jusqu'au 31 décembre 2007.</w:t>
      </w:r>
    </w:p>
    <w:p>
      <w:r>
        <w:rPr>
          <w:b/>
        </w:rPr>
        <w:t>E. 5.1</w:t>
      </w:r>
    </w:p>
    <w:p>
      <w:r>
        <w:t>Le recourant a présenté sa demande de rente le 1er mars 2002.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1er mars 2001 (12 mois avant le dépôt de la demande) ou si le droit à une rente était né entre cette date et le 11 août 2006, date de la décision sur opposition attaquée marquant la limite dans le temps du pouvoir d'examen de l'autorité de recours (ATF 130 V 445 consid. 1.2 et 1.2.1).</w:t>
      </w:r>
    </w:p>
    <w:p>
      <w:r>
        <w:rPr>
          <w:b/>
        </w:rPr>
        <w:t>E. 5.2</w:t>
      </w:r>
    </w:p>
    <w:p>
      <w:r>
        <w:t>Par rapport à la période soumise à l'examen du Tribunal de céans, il convient de préciser quel est l'objet du recours. D'une part, l'administration a alloué une demi-rente de l'assurance invalidité suisse limitée dans le temps du 1er avril 2002 au 31 octobre 2003. D'autre part, le recourant fait valoir son droit à une rente entière dès le 1er avril 2002 sans limitation au 31 octobre 2003. Dans le cadre du présent litige, le Tribunal de céans devra donc examiner si ses conclusions tendant à l'octroi d'une rente d'invalidité dès le 1er avril 2002 sont fondées. Selon la jurisprudence, le pouvoir d'examen du juge n'est toutefois pas limité au point qu'il doive s'abstenir de se prononcer en ce qui concerne des périodes à propos desquelles l'octroi de prestations - en l'espèce la demi-rente - n'est pas remis en cause par l'administration (cf. ATF 125 V 413 et 131 V 164).</w:t>
      </w:r>
    </w:p>
    <w:p>
      <w:r>
        <w:rPr>
          <w:b/>
        </w:rPr>
        <w:t>E. 6.1</w:t>
      </w:r>
    </w:p>
    <w:p>
      <w:r>
        <w:t>Selon les normes en vigueur à la date de la décision attaquée, tout requérant doit remplir cumulativement les conditions suivantes pour avoir droit à une rente de l'assurance invalidité suisse: - -:- - être invalide au sens de la LPGA/LAI et - avoir versé des cotisations à l'AVS/AI durant une année au moins (art. 36 al. 1 LAI).</w:t>
      </w:r>
    </w:p>
    <w:p>
      <w:r>
        <w:rPr>
          <w:b/>
        </w:rPr>
        <w:t>E. 6.2</w:t>
      </w:r>
    </w:p>
    <w:p>
      <w:r>
        <w:t>Dans le cas d'espèce, le recourant a versé des cotisations à l'AVS/AI pendant plus d'une année au total et remplit, partant, la condition de la durée minimale de cotisations. Il reste dès lors à examiner s'il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lorsque l'assuré est un ressortissant de l'UE et y réside.</w:t>
      </w:r>
    </w:p>
    <w:p>
      <w:r>
        <w:rPr>
          <w:b/>
        </w:rPr>
        <w:t>E. 7.3</w:t>
      </w:r>
    </w:p>
    <w:p>
      <w:r>
        <w:t>Conformément à l'art. 29 al. 1 LAI, le droit à une rente prend naissance au plus tôt à la date dès laquelle l'assuré présente une incapacité de gain durable de 40% au moins (let. a), ou l'assuré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c.-à-d. susceptible d'une amélioration ou d'une aggravation (ATF 121 V 264, 111 V 21 consid. 2b). Une incapacité de travail de 20% doit être prise en compte pour le calcul de l'incapacité de travail moyenne selon la let. b de l'art. 29, al. 1 LAI (VSI 1998 p. 126 consid. 3c).</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7.5</w:t>
      </w:r>
    </w:p>
    <w:p>
      <w:r>
        <w:t>La fixation rétroactive d'une rente, comme en l'espèce, correspond matériellement à une révision aux termes de l'art. 17 LPGA (qui reprend le contenu de l'art. 41 LAI en vigueur jusqu'au 31 décembre 2002), dont les conditions doivent, par conséquent, être remplies (ATF 125 V 417 consid. 2d, 369 consid. 2, 112 V 372 consid. 2b). Selon cette disposition, si le taux d'invalidité du bénéficiaire de la rente subit une modification notable, la rente est, d'office ou sur demande, révisée pour l'avenir, à savoir augmentée ou réduite en conséquence, ou encore supprimée. En cas de décision simultanée sur l'octroi d'une rente et son remplacement par une autre rente ou même sa suppression, le changement est régi par l'art. 88a RAI, lequel prévoit que,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8.1</w:t>
      </w:r>
    </w:p>
    <w:p>
      <w:r>
        <w:t>En Suisse, le recourant a exercé différentes professions dont principalement celle d'architecte jusqu'en avril 2001. En date du 4 mars 1999, il avait subi un accident professionnel et repris son activité lucrative à temps complet et partiel par intermittences.</w:t>
      </w:r>
    </w:p>
    <w:p>
      <w:r>
        <w:rPr>
          <w:b/>
        </w:rPr>
        <w:t>E. 8.2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les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353 consid. 3a et les références). La jurisprudence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353 consid. 3b/dd et les références citées).</w:t>
      </w:r>
    </w:p>
    <w:p>
      <w:r>
        <w:rPr>
          <w:b/>
        </w:rPr>
        <w:t>E. 9</w:t>
      </w:r>
    </w:p>
    <w:p>
      <w:r>
        <w:t>En l'espèce, il est établi que le recourant est atteint principalement de cervicobrachialgies chroniques sur troubles dégénératifs et discopathies étagées et status après cure chirurgicale de hernie discale C5-C6 en 1999, trouble somatoforme douloureux chronique chez une personnalité querelleuse et « Late whiplash syndrom » (cf. expertise de la CRR du 13 octobre 2005).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10.1</w:t>
      </w:r>
    </w:p>
    <w:p>
      <w:r>
        <w:t>Suite à un accident professionnel du 3 mars 1999, le recourant souffre de cervico-brachialgie C5-C6 et d'une discarthose avec discopathie associée au niveau C6-C7. Après l'opération sur hernie discale C5-C6 subie le 24 avril 1999, les Drs Joliat, Ramadin, Reverdin et Doulcet confirment ce diagnostic. Selon le Dr Guttmann, les cervico-brachialgies ne constituent toutefois pas la cause principale invalidante car l'assuré est surtout atteint d'un trouble somatoforme douloureux. À son avis, l'intéressé aurait pu reprendre son travail d'architecte à 75%. Le 9 décembre 2003 la Dresse Couto Popovic a estimé que ce trouble et l'état anxieux n'avaient pas d'impact sur la capacité de travail. En 2004 et 2005, les Drs Gaitzsch et Meyer relèvent néanmoins que l'opération a contribué à la chronicité des douleurs ressenties par l'assuré. Les expertises de ces deux médecins mentionnent que différents éléments somatiques contribuent à la symptomatologie de douleurs cervicales résiduelles. Ainsi, plusieurs médecins ont considéré que la capacité de travail de l'assuré était tout au plus de 50%. Le Dr Doulcet a évalué, le 4 avril 2002, cette capacité à 30%. Deux mois plus tard, le Dr Roux a considéré qu'elle était de 50%. Le Dr Gaitzsch a estimé dans son rapport du 23 mars 2004, qu'elle était nulle, tout en exposant que l'assuré aurait pu peut-être réduire ses handicaps en suivant un traitement thérapeutique adéquat. En revanche le Dr Guttmann a exclu une incapacité de travail supérieure à 25%. Face aux nombreuses expertises aux actes, en partie divergentes, le dossier a été soumis à la CRR pour une surexpertise sur l'état de santé de A._______. Les médecins ont relevé en la substance une cervicobrachialgie chronique et un trouble somatoforme douloureux chronique. En particulier, dans son rapport du 29 septembre 2005, la Dresse Zumstein a diagnostiqué un trouble somatoforme douloureux chronique chez une personnalité querelleuse selon la « Classification statistique internationale des maladies et des problèmes de santé connexes » (CIM-10). Selon la psychiatre, ces troubles cumulés aux séquelles somatiques entravent, de façon indubitable et durable, la capacité de travail de l'assuré dans une activité adaptée à un taux global de 50%.</w:t>
      </w:r>
    </w:p>
    <w:p>
      <w:r>
        <w:rPr>
          <w:b/>
        </w:rPr>
        <w:t>E. 10.2</w:t>
      </w:r>
    </w:p>
    <w:p>
      <w:r>
        <w:t>Le Dr Claivaz, du Service médical régional, a examiné le dossier et, dans ses derniers rapports des 23 novembre 2005 et 14 octobre 2006, a exposé que le trouble somatoforme douloureux dont souffre l'intéressé n'a pas valeur de maladie pour l'assurance-invalidité. En se fondant sur l'expertise du Dr Guttmann, il a estimé que l'état de santé de l'assuré s'est amélioré et qu'à partir du 25 juillet 2003 (date à laquelle l'assuré a consulté le Dr Guttmann), ce dernier a retrouvé une capacité de travail de 75% dans son activité d'architecte.</w:t>
      </w:r>
    </w:p>
    <w:p>
      <w:r>
        <w:rPr>
          <w:b/>
        </w:rPr>
        <w:t>E. 10.3.1</w:t>
      </w:r>
    </w:p>
    <w:p>
      <w:r>
        <w:t>Sur la base des différentes expertises aux actes, le Tribunal de céans ne peut se rallier à l'appréciation du Dr Claivaz formulée dans sa note du 23 novembre 2005 et confirmée le 24 octobre 2006. Il est vrai que l'expertise du Dr Guttmann a constaté une amélioration de l'état de santé de l'intéressé. Toutefois, le Dr Pfister, dans son rapport du 16 mars 2005, l'avait qualifiée de « légère » puisqu'en présence d'une pathologie complexe, le Dr Guttmann avait seulement procédé à des investigations routinières, d'où la nécessité de procéder à une surexpertise auprès de la CRR, du reste sollicitée par le même Dr Claivaz dans son rapport du 23 février 2005. De plus, le Dr Guttmann n'indique pas les raisons pour lesquelles une amélioration de l'état de santé de l'assuré serait intervenue dès juillet 2003. Après avoir procédé à un examen clinique globale et psychiatrique, les médecins de la CRR ont retenu une incapacité de travail de 50% dans son métier d'architecte. Auparavant, différents médecins avaient admis une incapacité de travail au moins partielle (voir en particulier celle du Dr Gaitzsch). Au vu de ces nombreux rapports médicaux qui attestent une incapacité de travail, certes partielle, les deux notes du Claivaz des 23 novembre 2005 et 24 octobre 2006 ne sont pas suffisamment motivées pour admettre une capacité de travail résiduelle de 75%.</w:t>
      </w:r>
    </w:p>
    <w:p>
      <w:r>
        <w:rPr>
          <w:b/>
        </w:rPr>
        <w:t>E. 10.3.2</w:t>
      </w:r>
    </w:p>
    <w:p>
      <w:r>
        <w:t>Toutefois, le Tribunal de céans relève qu'il n'est pas non plus possible de se rallier à l'évaluation des médecins de la CRR. Ceux-ci justifient une incapacité de travail de 50% par une symptomatologie douloureuse à la colonne vertébrale associée à un trouble somatoforme douloureux chronique. Or, avant d'admettre que cette pathologie soit reconnue comme invalidante, il est nécessaire que certains critères soient remplis. Ainsi, la jurisprudence du Tribunal fédéral des assurance, aujourd'hui Tribunal fédéral, a indiqué qu'un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 plus raisonnablement être exigée de l'assuré, ou qu'elle serait même insupportable pour la société (ATF 102 V 165; VSI 2001 p. 224 sv. consid. 2b et les références; ATF 130 V 352 précité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précité, consid. 2.2.3 in fine; Meyer-Blaser, op. cit. p. 76 ss, spéc. 80 ss). Or, en l'espèce, ces critères ne sont manifestement pas remplis. Il n'est pas certain que le recourant fasse preuve de toute sa volonté pour reprendre à travailler. La Dresse Zumstein met en évidence une personnalité querelleuse et revendicative. En outre, elle n'a pas examiné dans son rapport les autres conditions fixées par la jurisprudence, en particulier la capacité d'intégration de l'intéressé , qui ne paraît pas compromise, ni a indiqué quels traitements pourraient être indiqués pour permettre à l'assuré de récupérer sa capacité de travail.</w:t>
      </w:r>
    </w:p>
    <w:p>
      <w:r>
        <w:rPr>
          <w:b/>
        </w:rPr>
        <w:t>E. 10.4</w:t>
      </w:r>
    </w:p>
    <w:p>
      <w:r>
        <w:t>En résumé, le Tribunal de céans estime d'une part que l'avis du SMR n'est pas convaincant et ne permet pas de s'écarter des résultats de l'expertise de la CRR. D'autre part, l'expertise de la CRR n'est pas concluante dans la mesure où elle n'a pas examiné explicitement les critères fixés par la jurisprudence pour admettre que les troubles somatoformes douloureux chroniques justifient en l'espèce une incapacité de travail durable. L'instruction du dossier médical doit dès lors être complétée. Au vu du laps de temps qui s'est écoulé depuis l'expertise de la CRR, il est opportun de procéder à une nouvelle expertise psychiatrique, neurologique et orthopédique. Eu égard à ce qui précède, le recours doit être partiellement admis et la décision du 11 août 2006 annulée, la cause étant renvoyée à l'administration afin qu'elle complète l'instruction et rende une nouvelle décision.</w:t>
      </w:r>
    </w:p>
    <w:p>
      <w:r>
        <w:rPr>
          <w:b/>
        </w:rPr>
        <w:t>E. 11</w:t>
      </w:r>
    </w:p>
    <w:p>
      <w:r>
        <w:t>Il est pas perçu de frais de procédure (art. 64 PA). Les art. 64 PA et 7 du Règlement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au vu de l'issue du litige, il convient d'allouer à la partie recourante une indemnité de Fr. 2'000.- à charge de l'Office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