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C-2908/2015 vom 22. Oktober 2015</w:t>
      </w:r>
    </w:p>
    <w:p>
      <w:r>
        <w:t>Bundesverwaltungsgericht, 2015-10-22, DE</w:t>
      </w:r>
    </w:p>
    <w:p>
      <w:r>
        <w:rPr>
          <w:b/>
        </w:rPr>
        <w:t xml:space="preserve">Quelle: </w:t>
      </w:r>
      <w:r>
        <w:t>https://mcp.opencaselaw.ch/entscheid/bvger_C-2908_2015</w:t>
      </w:r>
    </w:p>
    <w:p>
      <w:r>
        <w:t>FR: TAF C-2908/2015 du 22 octobre 2015</w:t>
      </w:r>
    </w:p>
    <w:p>
      <w:r>
        <w:t>IT: TAF C-2908/2015 del 22 ottobre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die am Einspracheverfahren teilgenommen haben, sind gemäss Art. 48 Abs. 1 Bst. a VwVG beschwerdelegitimiert. Auch die weiteren, unter Art. 48 Abs. 1 Bst. b und c VwVG genannten Voraussetzungen liegen in ihrem Fall vor.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der Dominikanischen Republik.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Insbesondere haben sie glaubhaft zu machen,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[nachfolgend: Visakodex], ABl. L 243/1 vom 15.09.2009; vgl. zum Personenkreis: Art. 2 Ziff. 5 und Ziff. 6 SGK).</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die Dominikanische Republik zu diesen Staaten zählt, unterliegt die Gesuchstellerin der Visumspflicht.</w:t>
      </w:r>
    </w:p>
    <w:p>
      <w:r>
        <w:rPr>
          <w:b/>
        </w:rPr>
        <w:t>E. 5.2</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6.1</w:t>
      </w:r>
    </w:p>
    <w:p>
      <w:r>
        <w:t>Die Dominikanische Republik ist eine Präsidialrepublik nach US-amerikanischem Vorbild. Ihr Wirtschaftswachstum lag im Jahr 2013, trotz Rückgang, bei 4,1 Prozent, was bei einem lateinamerikanischen Durchschnitt von 2,7 Prozent immer noch relativ hoch ist. Wichtigste Einnahmequellen sind der Tourismus, die Exportgewinne aus den Freihandelszonen (Textilien, medizinische/pharmazeutische Artikel, Zigarren, Lederwaren), die Landwirtschaft sowie die Transferzahlungen der im Ausland lebenden 1,4 Millionen Dominikaner. Die mit dem Wirtschaftswachstum einhergehende Wohlstandsentwicklung wirkt sich dennoch nicht zugunsten aller Bevölkerungsschichten aus. Mit einer Armutsquote von 40 Prozent, einhergehend mit einem tiefen Bildungsniveau, ist die Einkommensverteilung weiterhin sehr ungleich. In den letzten Jahren wurden erhebliche Anstrengungen unternommen, um die sozialen Sicherheitsnetze, die Gesundheitsversorgung und das primäre und sekundäre Bildungssystem auszubauen. Dennoch sind die staatlichen Grunddienstleistungen von geringer Qualität und der Zugang zu ihnen ist, vor allem für den ärmeren Bevölkerungsteil, nicht immer gewährleistet. Eine umfassende Alphabetisierungs-Kampagne wurde erst im Januar 2013 gestartet, so dass die jahrzehntelange Vernachlässigung des gesamten Bildungsbereichs bis auf Weiteres eines der grössten Entwicklungshindernisse des Landes bleiben wird (Quellen: www.auswaertiges-amt.de &gt; Aussen- und Europapolitik &gt; Länderinformationen &gt; Dominikanische Republik &gt; Wirtschaft/ Innenpolitik/Kultur und Bildung, jeweiliger Stand: Dezember 2014; www.worldbank.org &gt; countries &gt; Dominican Republic &gt; Overview, Stand: September 2015; beide Websites besucht im Oktober 2015).</w:t>
      </w:r>
    </w:p>
    <w:p>
      <w:r>
        <w:rPr>
          <w:b/>
        </w:rPr>
        <w:t>E. 6.2</w:t>
      </w:r>
    </w:p>
    <w:p>
      <w:r>
        <w:t>Die Gesuchstellerin, 37 Jahre alt, ist Hausfrau. Mit ihren beiden Kindern lebt sie in einer Grossfamilie. Dies und ihre berufliche Ungebundenheit seien, so die Beschwerdeführenden, gerade die Gründe, die es ihrem Gast erst ermöglichten, für längere Zeit in die Schweiz zu reisen und währenddessen die Versorgung der Kinder sicherzustellen.</w:t>
      </w:r>
    </w:p>
    <w:p>
      <w:r>
        <w:rPr>
          <w:b/>
        </w:rPr>
        <w:t>E. 6.2.1</w:t>
      </w:r>
    </w:p>
    <w:p>
      <w:r>
        <w:t>Die vorstehende Argumentation der Beschwerdeführenden ist durchaus nachvollziehbar. Ihre Sichtweise, Familienbesuche aus dem Ausland müssten selbstverständlich und unbeschränkt möglich sein, ist mit dem Schengen-Recht allerdings nicht vereinbar (vgl. E. 4.1). Dieses verlangt, dass die gesuchstellende Person Gewähr für ihre fristgerechte Wiederausreise bietet. Aufgrund dessen haben die zuständigen Behörden einen Visumsantrag u.a. auch dahingehend zu prüfen, ob der Aspekt des familiären Beziehungsnetzes im Ausland gegen die Rückkehrbereitschaft der gesuchstellenden Person sprechen könnte.</w:t>
      </w:r>
    </w:p>
    <w:p>
      <w:r>
        <w:rPr>
          <w:b/>
        </w:rPr>
        <w:t>E. 6.2.2</w:t>
      </w:r>
    </w:p>
    <w:p>
      <w:r>
        <w:t>Die Lebenssituation der Gesuchstellerin, wie sie sich aufgrund der Akten darstellt, lässt nicht ohne Weiteres eine günstige Prognose im Hinblick auf ihre gesicherte Wiederausreise zu. Gemäss eigenen Angaben ist sie Hausfrau; auch den Beschwerdeführenden zufolge ist dies ihre Haupttätigkeit. Letztere machen zwar geltend, ihr Gast kümmere sich zusätzlich um ihr Haus in Santiago und arbeite "zwischenzeitlich als selbständige Verkäuferin"; inwieweit die Gesuchstellerin aus diesen beiden Nebentätigkeiten Erwerbseinkommen erzielt, ist allerdings nicht erkennbar. Von daher kann auch nicht davon ausgegangen werden, dass sie einen finanziell ins Gewicht fallenden Beitrag für die in Hausgemeinschaft lebende Grossfamilie erbringt. Dass sie dort aufgrund ihrer Arbeit im Haushalt unentbehrlich wäre, lässt sich dem Beschwerdevorbringen ebenso wenig entnehmen. Damit scheint sie nicht nur ihre Haushaltspflichten, sondern auch die Versorgung ihrer Kinder - zumal diese bereits im Teenager-Alter sind - grundsätzlich auch für eine längere Zeit als drei Monate delegieren zu können.</w:t>
      </w:r>
    </w:p>
    <w:p>
      <w:r>
        <w:rPr>
          <w:b/>
        </w:rPr>
        <w:t>E. 6.2.3</w:t>
      </w:r>
    </w:p>
    <w:p>
      <w:r>
        <w:t>Zwingende Verpflichtungen, welche die Gesuchstellerin an ihr Heimatland binden, sind folglich nicht anzunehmen. Ihr wird damit keineswegs unterstellt, ihre Heimat und ihre Kinder leichtfertig verlassen zu wollen. Allerdings kann - erkennbar an den Rimessen der im Ausland lebenden Dominikaner (vgl. E. 6.1) - nicht ausgeblendet werden, dass aufgrund der grossen Armut und der sozialen Bedingungen in der Dominikanischen Republik viele Personen im jüngeren und mittleren Alter emi-grieren, um die zuhause verbliebenen Angehörigen finanziell besser unterstützen zu können. Die Vermutung, die Gesuchstellerin verfolge mit dem geplanten Verwandtenbesuch auch andere Ziele, kann von daher nicht ausgeschlossen werden; immerhin hat auch ihre in der Schweiz lebende und mittlerweile offenbar eingebürgerte Schwester durch Heirat hier ein Aufenthaltsrecht erlangt.</w:t>
      </w:r>
    </w:p>
    <w:p>
      <w:r>
        <w:rPr>
          <w:b/>
        </w:rPr>
        <w:t>E. 6.3</w:t>
      </w:r>
    </w:p>
    <w:p>
      <w:r>
        <w:t>Die Beschwerdeführenden haben keine überzeugenden Gründe genannt, die für die anstandslose Wiederausreise der Gesuchstellerin sprechen könnten. An ihrem eigenen Wohlverhalten und der Ernsthaftigkeit der Zusicherungen, für die Rückreise ihres Gastes sorgen zu wollen, bestehen keine Zweifel; dennoch kann darauf nicht abgestellt werden. Gastgeber können zwar für gewisse finanzielle Risiken im Zusammenhang mit einem Besuchsaufenthalt garantieren, nicht jedoch für die tatsächlichen Absichten und für ein bestimmtes Verhalten ihrer Gäste (vgl. BVGE 2009/27 E. 9). Von daher ist auch nicht ausschlaggebend, dass ehemalige Gäste des Beschwerdeführers aus der Dominikanischen Republik, darunter seine heutige Ehefrau, jeweils mit Ablauf ihres Visums anstandslos in ihre Heimat zurückkehrten. Welche Umstände seinerzeit für die Erteilung der Visa sprachen, kann und braucht an dieser Stelle nicht geklärt werden.</w:t>
      </w:r>
    </w:p>
    <w:p>
      <w:r>
        <w:rPr>
          <w:b/>
        </w:rPr>
        <w:t>E. 7</w:t>
      </w:r>
    </w:p>
    <w:p>
      <w:r>
        <w:t>Gründe, die es erlauben würden, der Gesuchstellerin ein humanitäres Visum mit räumlich beschränkter Gültigkeit auszustellen (vgl. E. 4.2), bestehen nicht. Die Gastgeber haben, zumal sie in der Dominikanischen Republik ein Haus besitzen, jederzeit die Möglichkeit, ihre Schwester bzw. Schwägerin dort zu besuchen.</w:t>
      </w:r>
    </w:p>
    <w:p>
      <w:r>
        <w:rPr>
          <w:b/>
        </w:rPr>
        <w:t>E. 8</w:t>
      </w:r>
    </w:p>
    <w:p>
      <w:r>
        <w:t>Mit der Vorinstanz ist somit davon auszugehen, dass die Gesuchstellerin die Einreisevoraussetzungen (vgl. E. 4.1) nicht erfüllt. Der angefochtene Einspracheentscheid ist daher als rechtmässig zu bestätigen (vgl. Art. 49 VwVG) und die Beschwerde folglich abzuweisen.</w:t>
      </w:r>
    </w:p>
    <w:p>
      <w:r>
        <w:rPr>
          <w:b/>
        </w:rPr>
        <w:t>E. 9</w:t>
      </w:r>
    </w:p>
    <w:p>
      <w:r>
        <w:t>Bei diesem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