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C-2900/2009 vom 31. März 2011</w:t>
      </w:r>
    </w:p>
    <w:p>
      <w:r>
        <w:t>Bundesverwaltungsgericht, 2011-03-31, DE</w:t>
      </w:r>
    </w:p>
    <w:p>
      <w:r>
        <w:rPr>
          <w:b/>
        </w:rPr>
        <w:t xml:space="preserve">Quelle: </w:t>
      </w:r>
      <w:r>
        <w:t>https://mcp.opencaselaw.ch/entscheid/bvger_C-2900_2009</w:t>
      </w:r>
    </w:p>
    <w:p>
      <w:r>
        <w:t>FR: TAF C-2900/2009 du 31 mars 2011</w:t>
      </w:r>
    </w:p>
    <w:p>
      <w:r>
        <w:t>IT: TAF C-2900/2009 del 31 marzo 2011</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zur Erhe­bung des Rechtsmittels legitimiert (Art. 48 Abs. 1 VwVG). Auf die frist- und formgerecht eingereichte Be­schwerde ist somit einzutreten (Art. 49 ff.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Die Beschwerdeführerin stellt in formeller Hinsicht das Begehren, die Vernehmlassung der Vorinstanz vom 2. Juli 2009 sei aus den Akten zu wei­sen, da diese nicht innert der mit Zwischenverfügung des Bundesverwal­tungsgerichts vom 2. Juni 2009 angesetzten Frist ergangen sei.</w:t>
      </w:r>
    </w:p>
    <w:p>
      <w:r>
        <w:rPr>
          <w:b/>
        </w:rPr>
        <w:t>E. 3.2</w:t>
      </w:r>
    </w:p>
    <w:p>
      <w:r>
        <w:t>Es trifft zu, dass die Vorinstanz ihre Vernehmlassung in der Sache am 2. Juli 2009 datiert und an das Bundesverwaltungsgericht übermittelt hat, wo sie tags darauf als Eingang erfasst wurde. Demgegenüber war in der Zwischenverfügung vom 2. Juni 2009 zur Einreichung Frist bis zum 1. Juli 2009 angesetzt worden.</w:t>
      </w:r>
    </w:p>
    <w:p>
      <w:r>
        <w:rPr>
          <w:b/>
        </w:rPr>
        <w:t>E. 3.3</w:t>
      </w:r>
    </w:p>
    <w:p>
      <w:r>
        <w:t>Die Beschwerdeführerin übersieht allerdings, dass es sich bei der fragli­chen Frist nicht um eine Verwirkungs-, sondern um eine reine Ord­nungsfrist handelt. Das ergab sich schon aus der fehlenden Androhung all­fälliger Säumnisfolgen (vgl. zum Ganzen Bernard Maitre / Vanessa Thalmann in: Bernhard Waldmann / Philipp Weissenberger [Hrsg.], Praxiskommentar zum Bundesgesetz über das Verwaltungsverfahren, Zü­rich / Basel / Genf 2009, Rz. 3 zu Art. 22 und Rz. 2 ff. zu Art. 23). An­lass, die solchermassen minim verspätete Vernehmlassung förmlich aus den Akten zu weisen, ergibt sich entgegen der Auffassung der Beschwerde­führerin auch nicht aus dem Umstand, dass ihr Inhalt nicht als ausschlaggebend erscheinen könne.</w:t>
      </w:r>
    </w:p>
    <w:p>
      <w:r>
        <w:rPr>
          <w:b/>
        </w:rPr>
        <w:t>E. 4.1</w:t>
      </w:r>
    </w:p>
    <w:p>
      <w:r>
        <w:t>Mit dem Bundesbeschluss über die Genehmigung und die Umset­zung des Notenaustauschs zwischen der Schweiz und der EG betref­fend die Übernahme der EG-Rückführungsrichtlinie (Richtlinie 2008/115/EG) vom 18. Juni 2010 (AS 2010 5925) wurde Art. 67 des Bun­desgesetzes vom 16. Dezember 2005 über die Ausländerinnen und Ausländer (AuG, SR 142.20) mit Wirkung per 1. Januar 2011 ohne eine Übergangsregelung revidiert. Diese Rechtsänderung ist für den vor­liegenden Fall nur insoweit von Relevanz, als die Beschwerdeführe­rin von der zuständigen Migrationsbehörde mit einer sofort voll­ziehbaren Wegweisung belegt wurde, wie sie der neue Art. 64d Abs. 2 unter Bst. a und b AuG vorsieht und wie sie nach dem neuen Art. 67 Abs. 1 Bst. a AuG unter Vorbehalt humanitärer oder anderer wichtiger Gründe nach Abs. 5 zwingend zu einem Einreiseverbot führt. Das Abstel­len auf den neuen Art. 67 Abs. 1 Bst. a AuG wäre aber in casu eine echte Rückwirkung, die mangels einer hinreichenden gesetzlichen Grundlage unzulässig ist. Ansonsten steht der Anwendung des neuen Rechts - auf das nachfolgend der Einfachheit halber allein Bezug ge­nommen wird - nichts entgegen (vgl. zum Ganzen Urteil des Bundes­verwaltungsgerichts C-3962/2010 vom 22. Februar 2011 E. 4.1).</w:t>
      </w:r>
    </w:p>
    <w:p>
      <w:r>
        <w:rPr>
          <w:b/>
        </w:rPr>
        <w:t>E. 4.2</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Gründen kann die zuständige Be­hörde von der Verhängung eines Einreiseverbots absehen oder ein Ein­reiseverbot vollständig oder vorübergehend aufheben (Abs. 5).</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Widerhandlungen gegen Nor­men des Ausländerrechts fallen ohne weiteres unter diese Begriffs­be­stimmung und können als solche ein Einreiseverbot nach sich zie­hen (vgl. BBl 2002 3813).</w:t>
      </w:r>
    </w:p>
    <w:p>
      <w:r>
        <w:rPr>
          <w:b/>
        </w:rPr>
        <w:t>E. 4.4</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5.1</w:t>
      </w:r>
    </w:p>
    <w:p>
      <w:r>
        <w:t>Die Vorinstanz wirft der Beschwerdeführerin in der angefochtenen Verfügung die Ausübung einer nicht bewilligten Erwerbstätigkeit in Gestalt der Prostitution vor. Die Beschwerdeführerin bestreitet diese Vorhaltung.</w:t>
      </w:r>
    </w:p>
    <w:p>
      <w:r>
        <w:rPr>
          <w:b/>
        </w:rPr>
        <w:t>E. 5.2</w:t>
      </w:r>
    </w:p>
    <w:p>
      <w:r>
        <w:t>Aus den Akten ergibt sich folgendes Bild: Die Beschwerdeführerin wurde am frühen Abend des 1. April 2009 im Rahmen einer von Mitarbeiten­den der Kantonspolizei Bern und der städtischen Migrationsbe­hörde gemeinsam durchgeführten Milieu-Kontrolle angehal­ten. Gemäss dem dabei erstellten Rapport öffnete sie dem Vertreter der Migrationsbehörde auf dessen Läuten im Erotik-Salon E._______ die Türe. Sie war dabei - immer gemäss Rapport - lediglich mit Büstenhalter, Slip, hohen Strümpfen und hochhackigen Sandaletten bekleidet. Auf dessen Bit­ten hin führte die Beschwerdeführerin ihren Besucher durch die Räumlichkeiten und wies darauf hin, dass ihre Kollegin im privaten Bereich der Wohnung schlafe. In der Folge wurden die beiden Frauen von den hinzugestosse­nen Polizisten einer Personenkontrolle unterzogen.</w:t>
      </w:r>
    </w:p>
    <w:p>
      <w:r>
        <w:rPr>
          <w:b/>
        </w:rPr>
        <w:t>E. 5.3</w:t>
      </w:r>
    </w:p>
    <w:p>
      <w:r>
        <w:t>Aufgrund des Verdachts, dass sie illegal der Prostitution nachgegan­gen war, wurde die Beschwerdeführerin im Anschluss an die Milieukon­trolle auf das Polizeirevier verbracht und zu der Sache befragt. Dabei bestä­tigte sie - auf einen entsprechenden Eintrag in ihrem Pass angespro­chen - zu Protokoll, sie sei am 24. Januar 2009 in die Schweiz ein­gereist. Zuerst habe sie sich bei einer Kollegin namens A._______ in Gren­chen aufgehalten (Antworten auf Frage 1). Dann habe sie bei ihrem (in der Stadt Bern lebenden) Freund B._______ gewohnt. Die Be­ziehung habe schon lange Zeit vor ihrer Einreise in die Schweiz bestan­den. Vor wenigen Tagen sei es zwischen ihnen zu einem Streit ge­kommen und sie habe sich zur mit ihr befreundeten Salon-Betreiberin C._______ begeben (Antworten auf Frage 4). Auf die Frage nach ihren finan­ziellen Mitteln gab die Beschwerdeführerin an, sie habe bisher von ei­ner Mastercard Geld beziehen können. Wenn sie kein Geld mehr habe, schickten ihr die Eltern welches. In Kroatien arbeite sie nicht, hingegen hät­ten ihre Eltern immer gearbeitet. Jetzt habe sie kein Bargeld mehr, des­halb sei sie ihre Freundin C._______ um Hilfe angegangen. Sie könne bei C._______ schlafen, essen und bekomme Zigaretten (Antworten auf Frage 9). Auf die Frage (10), weshalb sie in der angetroffenen Aufmachung (Beklei­dung nur mit Slip, BH, schwarzen hohen Strümpfen und hochhackigen Schuhen) an der Tür erschienen sei und den Mitarbeitenden der Migrations­behörde durch die Räumlichkeiten geführt habe, meinte die Be­schwerdeführerin, sie habe in dieser Aufmachung unmittelbar vor Erschei­nen des Besuchers in einem Bett geschlafen und der Besucher habe sich durch einen Ausweis legitimiert. Auf Rückfrage nach den getrage­nen Schuhen meinte die Beschwerdeführerin, der Boden sei schmut­zig gewesen und sie habe keine andern Schuhe zur Hand gehabt, als es geklingelt habe. Ihre Freundin, die Salon-Betreiberin C._______, habe sie beim Einkaufen bzw. auf der Strasse kennen gelernt (Antwort auf Frage 11). Auf die Frage, wie viele Frauen sich in besagtem Salon prostitu­ierten, gab die Beschwerdeführerin zu Protokoll, seit sie sich dort aufhalte, habe sie keine andern Frauen angetroffen. Mit zwei an der Ein­gangstür angehefteten Fotos (Torso ohne Gesicht) und dem am selben Ort angebrachten Namen Maja 24 konfrontiert, behauptete die Beschwerde­führerin, sie wisse nicht, wer das sei (Antwort auf Frage 13). Mit weiteren Fotos (ebenfalls nur des Torsos ohne Gesicht) konfrontiert, mit denen eine Maja auf einer einschlägigen Seite des Internets an selbi­ger Adresse ihre Dienste als Prostituierte anbietet und um Mitarbeiterin­nen wirbt, meinte die Beschwerdeführerin, es gebe viele Frauen und sie wisse nicht, wer diese Person sei (Antwort auf Frage 15). In der Folge hiel­ten die einvernehmenden Mitarbeitenden der Beschwerdeführerin di­verse Merkmale vor, aus denen sie auf eine Identität zwischen ihr und der auf den Fotos abgebildeten Frau schlossen. Die Beschwerdeführerin bestritt eine solche Identität zu jedem einzelnen der Details (Antworten auf Fragen 16 bis 26). So meinte sie auf den Hinweis des gleichartigen Bauch-Piercings, jede zweite Frau habe ein solches Piercing. Einen gel­ben BH habe sie auch, er sei aber nicht identisch mit dem auf einem Teil der Fotos abgebildeten Modell. Auf die Gleichartigkeit der getragenen Schuhe angesprochen, meinte die Beschwerdeführerin, diese gehörten ih­rer Freundin. Auf den Zehenring hingewiesen äusserte sie, sie habe ihre Zehennägel nicht gleich behandelt wie auf den Fotos. Auf auffällige Muttermale am rechten Arm der fotografierten Frau angesprochen, meinte die Beschwerdeführerin bloss, das sei nicht sie, bzw. die Befragen­den könnten darüber denken, was sie wollten. Die abschlies­sende Feststellung der Befragenden, wonach es sich bei den von ihr nun eingepackten Effekten hauptsächlich um Reizwäsche handle und der darin enthaltene gelbe BH identisch sei mit demjenigen auf den Fotos an der Eingangstüre, beschränkte sich die Beschwerdeführerin darauf, eine sol­che Identität in Abrede zu stellen.</w:t>
      </w:r>
    </w:p>
    <w:p>
      <w:r>
        <w:rPr>
          <w:b/>
        </w:rPr>
        <w:t>E. 5.4</w:t>
      </w:r>
    </w:p>
    <w:p>
      <w:r>
        <w:t>Allein schon die spezifischen Umstände der Anhaltung (Ort, Beklei­dung, Verhalten gegenüber den Kontrolleuren), aber auch die Schilderun­gen zu den persönlichen Verhältnissen und Absichten sowie das von blos­sem Bestreiten, Ausweichmanövern und Stereotypien geprägte Aussa­geverhalten, wie es sich der vorstehenden Zusammenfassung ohne weiteres entnehmen lässt, rechtfertigen willkürfrei den Schluss, dass die Beschwerdeführerin am angetroffenen Ort der Prostitution nach­ging. Dieser Schluss lässt sich weder mit der (als Beilage zur Be­schwerde) eingereichten - angeblich von ihrem Freund mitunterzeichne­ten - handschriftlichen Bestätigung noch mit dem Einwand ernsthaft in Frage stellen, dass das von den Ermittlungsbehörden verwendete Foto-Vergleichsmate­rial einseitig auf zwei Leberflecken abstütze und ein wichtiges Merkmal der Beschwerdeführerin in Form eines Tatoos nicht aufweise. Was das handschriftliche Schreiben betrifft, so bestätigen darin eine Frau D._______ und ein Herr B._______ einzig, dass die Beschwer­deführerin am 24. Januar 2009 nach Bern gekommen sei und bei letzterem an dessen Adresse gewohnt habe. Das schliesst, selbst wenn es zutrifft, eine Erwerbstätigkeit der Beschwerdeführerin als Prostitu­ierte in der gleichen Zeit nicht aus. Was die von der Beschwerdeführerin behauptete Beweisuntauglichkeit des von den Ermittlungsbehörden verwendeten Fotomaterials betrifft, gilt Folgendes festzustellen: Die an der Eingangstür zum Lokal und im Inter­net unter der gleichen Adresse vorgefundenen Fotos lassen - ebenfalls willkür­frei - auf eine Identität mit der Beschwerdeführerin schliessen. Dies nicht nur gestützt auf zwei, sondern eine ganze Anzahl von Leberflecken, die auf einer Partie des Halses und eines Oberarms auszumachen sind. Hinzu kommen zahlreiche sonstige Merkmale (Bauchpiercing, Zehenring, getragene bzw. vorhandene Wäschestücke und Schuhe), deren Erheblichkeit die Beschwerdeführerin bei ihrer Konfrontation nicht überzeugend in Abrede stellen konnte und zu denen sie sich in der Beschwerde nicht mehr äussert. Wohl trifft zu, dass die Beschwerdeführerin bei ihrer Anhaltung auf dem Rücken unten links ein Tatoo aufwies, welches auf dem einzigen Foto aus dem Internet, das die fragliche Rückenpartie zeigt, fehlt. Es kann aber nicht ausgeschlossen werden, dass dieses Tatoo erst nach Erstellung der im Internet aufgeschalteten Fotos gestochen oder aber auf dem fraglichen Foto aus irgendwelchen Gründen wegretouschiert wurde.</w:t>
      </w:r>
    </w:p>
    <w:p>
      <w:r>
        <w:rPr>
          <w:b/>
        </w:rPr>
        <w:t>E. 6</w:t>
      </w:r>
    </w:p>
    <w:p>
      <w:r>
        <w:t>Prostitution gilt nach ständiger Rechtsprechung des Bundesverwaltungsge­richts als Erwerbs­tätigkeit im Sinne von Art. 11 Abs. 2 AuG (vgl. etwa Urteile des Bundesver­waltungsgerichts C-3789/2008 vom 21. April 2009 Bst. A und E. 5.1 sowie C-51/2006 vom 17. April 2007 E. 4.1). Die Be­schwerdeführerin meldete sich in Verletzung von Art. 11 AuG weder an, noch holte sie die gemäss Art. 10 Abs. 2 AuG erforderli­che Bewilligung ein.</w:t>
      </w:r>
    </w:p>
    <w:p>
      <w:r>
        <w:rPr>
          <w:b/>
        </w:rPr>
        <w:t>E. 7</w:t>
      </w:r>
    </w:p>
    <w:p>
      <w:r>
        <w:t>Zur gleichen Würdigung des Sachverhalts gelangte auch die erstinstanzli­che Strafverfolgungsbehörde mit dem von ihr erlassenen Strafmandat. Des­sen fehlende Rechtskraft stand vorliegend dem Erlass einer Fernhalte­massnahme nicht entgegen, zumal das strafbare Verhalten nach dem bisher Gesagten als hinreichend erstellt betrachtet werden konnte (vgl. anstelle vieler Urteil des Bundesverwaltungsgerichts C-1684/2008 vom 28. Oktober 2008 E. 5.1 mit Hinweisen). Der von der Beschwerdeführerin erhobene Einwand, wonach der mit dem Einspracheverfahren befasste Strafrichter beabsichtigt habe, die Strafverfol­gung einzustellen, ist unbehelflich. Zwar hat er im Verfahren tatsächlich eine solche Absicht kundgetan und u.a. damit begründet, dass Verschulden und Tatfolgen gering seien und die Angeschuldigte das Land inzwischen verlassen habe. Der zuständige Staatsanwalt hat sich aber ei­ner Aufhebung der Strafverfolgung widersetzt. Im Übrigen lässt das Verhal­ten der Beschwerdeführerin seit ihrer erzwungenen Ausreise ganz of­fensichtlich nicht auf ein intaktes Interesse daran schliessen, die Angele­genheit einer definitiven strafrichterlichen Beurteilung zuzuführen. Nicht nur, dass die Beschwerdeführerin offenbar selbst für ihren Rechtsvertreter nicht oder nur schwer erreichbar ist, sie hat bisher auch keine Bemühungen unternommen, um die Voraussetzungen für eine Teil­nahme an den notwendigen Prozesshandlungen zu schaffen. Jedenfalls ist nicht aktenkundig, dass bei der dafür zuständigen Vorinstanz um vorüber­gehende Ausserkraftsetzung der Massnahme (sog. Suspension; vgl. Art. 67 Abs. 5 in fine AuG) nachgesucht worden wäre.</w:t>
      </w:r>
    </w:p>
    <w:p>
      <w:r>
        <w:rPr>
          <w:b/>
        </w:rPr>
        <w:t>E. 8</w:t>
      </w:r>
    </w:p>
    <w:p>
      <w:r>
        <w:t>Mit ihrem illegalen Aufenthalt und der illegalen Erwerbstätigkeit hat die Be­schwerdeführerin zweifellos einen Fernhaltegrund gesetzt (Art. 67 Abs. 2 Bst. a AuG). Faktum ist auch, dass sie von der zuständigen Migrationsbe­hörde nach damaligem Recht formlos weggewiesen und in Ausschaffungshaft versetzt worden war. Letzterer Umstand gilt als eigen­ständiger Fernhaltegrund (Art. 67 Abs. 2 Bst. c AuG) und lässt sich nicht schon damit in Frage stellen, dass die Rechtmässigkeit dieser Haftanord­nung nachträglich bestritten wird.</w:t>
      </w:r>
    </w:p>
    <w:p>
      <w:r>
        <w:rPr>
          <w:b/>
        </w:rPr>
        <w:t>E. 9</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w:t>
      </w:r>
    </w:p>
    <w:p>
      <w:r>
        <w:rPr>
          <w:b/>
        </w:rPr>
        <w:t>E. 9.1</w:t>
      </w:r>
    </w:p>
    <w:p>
      <w:r>
        <w:t>Die Beschwerdeführerin hat Bestimmungen missachtet, denen für das Funktionieren der ausländerrechtlichen Ordnung ganz zentrale Be­deutung zukommt. Die ermittelnde Migrationsbehörde der Stadt Bern at­testierte ihr ein "äusserst unkooperatives" Verhalten und es scheint ihr jede Einsicht in den Unrechtsgehalt und die Problematik ihres Vorge­hens zu fehlen. Es besteht daher ein gewichtiges spezial- und ge­neral­präventiv motiviertes öffentliches Interesse an ihrer befristeten Fernhaltung.</w:t>
      </w:r>
    </w:p>
    <w:p>
      <w:r>
        <w:rPr>
          <w:b/>
        </w:rPr>
        <w:t>E. 9.2</w:t>
      </w:r>
    </w:p>
    <w:p>
      <w:r>
        <w:t>Dem aufgezeigten öffentlichen Interesse entgegenstehende private Inte­ressen daran, weiterhin ohne besondere Beschränkungen in die Schweiz einreisen zu können, werden von der Beschwerdeführerin im Rechtsmittelverfahren zwar nicht besonders hervorgehoben. Aus dem bis­her Gesagten ergibt sich immerhin, dass sie hier in der Schweiz einen Freund und diverse Bekannte haben will, die sie in der Vergangenheit be­sucht hat. Ihre Ausführungen dazu blieben aber unbestimmt und pau­schal, so dass nicht abgeschätzt werden kann, wie stark diese Kontakte durch das ausgesprochene Einreiseverbot überhaupt tangiert werden.</w:t>
      </w:r>
    </w:p>
    <w:p>
      <w:r>
        <w:rPr>
          <w:b/>
        </w:rPr>
        <w:t>E. 9.3</w:t>
      </w:r>
    </w:p>
    <w:p>
      <w:r>
        <w:t>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w:t>
      </w:r>
    </w:p>
    <w:p>
      <w:r>
        <w:rPr>
          <w:b/>
        </w:rPr>
        <w:t>E. 10</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11</w:t>
      </w:r>
    </w:p>
    <w:p>
      <w:r>
        <w:t>Bei diesem Ausgang des Verfahrens sind der Beschwerdeführerin die Kos­ten aufzuerlegen (Art. 63 Abs. 1 VwVG i.V.m. Art. 1, Art. 2 und Art. 3 Bst. b des Reglements vom 21. Februar 2008 über die Kosten und Entschä­digungen vor dem Bundesverwaltungsgericht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