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C-2897/2010 vom 20. Mai 2011</w:t>
      </w:r>
    </w:p>
    <w:p>
      <w:r>
        <w:t>Bundesverwaltungsgericht, 2011-05-20, FR</w:t>
      </w:r>
    </w:p>
    <w:p>
      <w:r>
        <w:rPr>
          <w:b/>
        </w:rPr>
        <w:t xml:space="preserve">Quelle: </w:t>
      </w:r>
      <w:r>
        <w:t>https://mcp.opencaselaw.ch/entscheid/bvger_C-2897_2010</w:t>
      </w:r>
    </w:p>
    <w:p>
      <w:r>
        <w:t>FR: TAF C-2897/2010 du 20 mai 2011</w:t>
      </w:r>
    </w:p>
    <w:p>
      <w:r>
        <w:t>IT: TAF C-2897/2010 del 20 maggio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celles en vigueur à compter du 1er janvier 2008 vu la date de la décision attaquée.</w:t>
      </w:r>
    </w:p>
    <w:p>
      <w:r>
        <w:rPr>
          <w:b/>
        </w:rPr>
        <w:t>E. 4.1</w:t>
      </w:r>
    </w:p>
    <w:p>
      <w:r>
        <w:t>La décision dont est recours fait suite à une première demande de rente ayant été rejetée par décision du 18 août 2006 de l'OAIE pour un taux d'invalidité de 32%, confirmée par le Tribunal de céans le 6 juin 2008.</w:t>
      </w:r>
    </w:p>
    <w:p>
      <w:r>
        <w:rPr>
          <w:b/>
        </w:rPr>
        <w:t>E. 4.2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w:t>
      </w:r>
    </w:p>
    <w:p>
      <w:r>
        <w:rPr>
          <w:b/>
        </w:rPr>
        <w:t>E. 4.5</w:t>
      </w:r>
    </w:p>
    <w:p>
      <w:r>
        <w:t>Il y a dès lors lieu d'examiner la question de savoir si c'est à juste titre que l'administration a rendu une décision de refus d'entrer en matière.</w:t>
      </w:r>
    </w:p>
    <w:p>
      <w:r>
        <w:rPr>
          <w:b/>
        </w:rPr>
        <w:t>E. 5.1</w:t>
      </w:r>
    </w:p>
    <w:p>
      <w:r>
        <w:t>En l'espèce, il y a préliminairement lieu de constater qu'entre la décision du 18 août 2006 et celle du 14 juin 2010 près de 4 ans se sont écoulés. Avant de rendre la nouvelle décision attaquée, l'OAI-BS a consulté son service médical (cf. rapport du Dr E._______ du 26 mars 2010).</w:t>
      </w:r>
    </w:p>
    <w:p>
      <w:r>
        <w:rPr>
          <w:b/>
        </w:rPr>
        <w:t>E. 5.2</w:t>
      </w:r>
    </w:p>
    <w:p>
      <w:r>
        <w:t>Dans son arrêt du 6 juin 2008 le Tribunal de céans a relevé le caractère complet de l'expertise de l'Institut X du 11 mai 2006 comprenant les volets orthopédique, psychiatrique et cardiologique topiques des atteintes à la santé de l'assuré et dont les affects cardiologiques, concomitants à l'accident survenu, fondaient principalement les limitations de la capacité de travail à des activités légères à moyennement lourdes. Une pleine capacité de travail avait alors été confirmée dans des activités adaptées légères du secteur privé de type simples et répétitives avec la prise en compte d'un abattement de 15% sur le revenu moyen tenant compte des limitations personnelles de l'assuré. Cette appréciation de l'invalidité fonctionnelle de l'assuré avait donné lieu à une invalidité économique de 32% quelque peu supérieure à celle retenue par l'assureur-accident mais insuffisante pour fonder un droit à une rente d'invalidité.</w:t>
      </w:r>
    </w:p>
    <w:p>
      <w:r>
        <w:rPr>
          <w:b/>
        </w:rPr>
        <w:t>E. 5.3</w:t>
      </w:r>
    </w:p>
    <w:p>
      <w:r>
        <w:t>Dans le cadre de sa nouvelle demande déposée le 17 mars 2010 l'assuré a fait valoir une dégradation générale de son état de santé. Les constatations du rapport E 213 au dossier, daté du 15 octobre 2008, sont dans la lignée de celles énoncées dans le rapport d'expertise de l'Institut X circonstancié du 11 mai 2006 lequel avait conclu à une capacité de travail entière dans des activités non seulement légères mais aussi moyennement lourdes adaptées. Bien que le rapport d'un organisme de la Sécurité sociale française conclue à une incapacité de travail totale pour toute activité, il ne peut être retenu comme seul déterminant. Les atteintes à la santé relevées dans ce rapport ne justifient d'ailleurs objectivement pas une incapacité de travail totale pour toute activité. S'agissant de l'atteinte au genou droit qui a été opéré le 25 avril 2009, il ne peut y avoir une péjoration durable de la capacité de travail, une telle péjoration n'est en effet pas documentée, seul figure au dossier un rapport d'intervention pour méniscectomie qui est une intervention usuelle normalement sans incidence importante sur le long terme. Le rapport médical du Dr C._______ du 5 décembre 2009 ne fait pas état d'atteintes à la santé nouvelles, il relève par ailleurs indirectement que la maladie coronaire s'est favorablement stabilisée ne limitant plus autant qu'auparavant l'assuré. Enfin, le rapport psychiatrique du Dr D._______ du 23 février 2010 indique un motif de consultation et non un diagnostic, ce médecin ne se prononce pas sur l'intensité du syndrome anxio-dépressif réactionnel indiqué de sorte qu'avec le Dr E._______ il peut être tenu comme non invalidant. D'ailleurs, déjà dans le rapport de l'Institut X seule une suspicion de charge post-traumatique avait été retenue.</w:t>
      </w:r>
    </w:p>
    <w:p>
      <w:r>
        <w:rPr>
          <w:b/>
        </w:rPr>
        <w:t>E. 5.4</w:t>
      </w:r>
    </w:p>
    <w:p>
      <w:r>
        <w:t>Dès lors, la non-entrée en matière de l'OAIE dans la nouvelle demande de prestations peut être confirmée en ce sens que l'assuré n'a pas rendu plausible une aggravation de son état de santé par rapport à la décision de l'OAIE du 18 juin 2006. Mal fondé le recours doit être rejeté.</w:t>
      </w:r>
    </w:p>
    <w:p>
      <w:r>
        <w:rPr>
          <w:b/>
        </w:rPr>
        <w:t>E. 6.1</w:t>
      </w:r>
    </w:p>
    <w:p>
      <w:r>
        <w:t>Les frais de procédure, fixés à CHF 300.-, sont mis à la charge du recourant (art. 63 al. 1 PA, applicable par le truchement de l'art. 37 LTAF). Ils sont compensés par l'avance de frais du même montant dont il s'est acquitté au cours de l'instruction.</w:t>
      </w:r>
    </w:p>
    <w:p>
      <w:r>
        <w:rPr>
          <w:b/>
        </w:rPr>
        <w:t>E. 6.2</w:t>
      </w:r>
    </w:p>
    <w:p>
      <w:r>
        <w:t>Vu l'issue du litige, 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