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C-2896/2015 vom 4. Februar 2016</w:t>
      </w:r>
    </w:p>
    <w:p>
      <w:r>
        <w:t>Bundesverwaltungsgericht, 2016-02-04, DE</w:t>
      </w:r>
    </w:p>
    <w:p>
      <w:r>
        <w:rPr>
          <w:b/>
        </w:rPr>
        <w:t xml:space="preserve">Quelle: </w:t>
      </w:r>
      <w:r>
        <w:t>https://mcp.opencaselaw.ch/entscheid/bvger_C-2896_2015</w:t>
      </w:r>
    </w:p>
    <w:p>
      <w:r>
        <w:t>FR: TAF C-2896/2015 du 4 février 2016</w:t>
      </w:r>
    </w:p>
    <w:p>
      <w:r>
        <w:t>IT: TAF C-2896/2015 del 4 febbraio 2016</w:t>
      </w:r>
    </w:p>
    <w:p>
      <w:pPr>
        <w:pStyle w:val="Heading2"/>
      </w:pPr>
      <w:r>
        <w:t>Regeste</w:t>
      </w:r>
    </w:p>
    <w:p>
      <w:r>
        <w:t>Einreiseverbot</w:t>
      </w:r>
    </w:p>
    <w:p>
      <w:pPr>
        <w:pStyle w:val="Heading2"/>
      </w:pPr>
      <w:r>
        <w:t>Erwägungen</w:t>
      </w:r>
    </w:p>
    <w:p>
      <w:r>
        <w:rPr>
          <w:b/>
        </w:rPr>
        <w:t>E. 3.1</w:t>
      </w:r>
    </w:p>
    <w:p>
      <w:r>
        <w:t>Der Beschwerdeführer rügt in formeller Hinsicht eine Verletzung des Anspruchs auf rechtliches Gehör (vgl. Art. 29 Abs. 2 BV und Art. 29 ff. VwVG). Die Vorinstanz habe das Einreiseverbot erlassen, ohne bspw. auszuführen, für wen, was und wie lange er gearbeitet und welche Entschädigung er dafür erhalten haben soll. Sie sei somit ihrer Begründungspflicht in keiner Weise nachgekommen.</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 René Wiederkehr, Die Begründungspflicht nach Art. 29 Abs. 2 BV und die Heilung bei Verletzung, ZBl 9/2010 S. 484 ff.). 3.33.3.1 Die Vorinstanz begründete ihre Verfügung folgendermassen: "Die obengenannte Person war in der Schweiz erwerbstätig, ohne im Besitze der erforderlichen ausländerrechtlichen Bewilligung zu sein. Gemäss ständiger Praxis und Rechtsprechung liegt damit ein Verstoss gegen die öffentliche Sicherheit und Ordnung im Sinne von Art. 67 AuG vor. Die im Rahmen des rechtlichen Gehörs gemachten Ausführungen würden keinen anderen Entscheid rechtfertigen." 3.3.2 Die Begründung der angefochtenen Verfügung ist wohl knapp ausgefallen und die privaten Interessen des Beschwerdeführers wurden nicht aufgeführt. Diese liess dennoch erkennen, dass die Verzeigung an die Staatsanwaltschaft Muri-Bremgarten wegen illegaler Einreise und rechtswidrigen Aufenthalts in der Schweiz sowie unselbständiger Erwerbstätigkeit ohne Bewilligung zum Anlass genommen wurde, um eine Fernhaltemassnahme gestützt auf Art. 67 AuG (SR 142.20) anzuordnen. Zudem war der Rechtsvertreter aufgrund der Akteneinsicht über das Vorkommnis informiert. Dem Beschwerdeführer war es somit möglich, ein materiell begründetes Rechtsmittel gegen die Verfügung zu erheben. 3.3.3 Zu berücksichtigen ist ferner,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C-6661/2014 vom 22. Oktober 2015 E. 3.3.4 m.H.).</w:t>
      </w:r>
    </w:p>
    <w:p>
      <w:r>
        <w:rPr>
          <w:b/>
        </w:rPr>
        <w:t>E. 3.4</w:t>
      </w:r>
    </w:p>
    <w:p>
      <w:r>
        <w:t>Die erhobene Rüge der Gehörsverletzung erweist sich demnach als unbegründet. 4.Das SEM kann Einreiseverbote ge­gen ausländische Personen erlassen, die gegen die öffentliche Sicherheit und Ordnung in der Schweiz oder im Ausland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insbesondere vor, wenn gesetzliche Vorschriften missachtet werden (Art. 80 Abs. 1 Bst. a der Verordnung vom 24. Okto­ber 2007 über Zulassung, Aufenthalt und Erwerbstätigkeit [VZAE, SR 142.201]); darunter fallen u.a. auch Widerhandlungen gegen das Ausländerrecht.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eines Risikos einer künftigen Gefährdung an. Bei der Prognosestellung ist naturgemäss in erster Linie das vergangene Verhalten der betroffenen Person zu berücksichtigen (vgl. Urteil des BVGer C-6661/2014 vom 22. Oktober 2015 E. 4.1 m.H.).</w:t>
      </w:r>
    </w:p>
    <w:p>
      <w:r>
        <w:rPr>
          <w:b/>
        </w:rPr>
        <w:t>E. 5.1</w:t>
      </w:r>
    </w:p>
    <w:p>
      <w:r>
        <w:t>Die Vorinstanz machte in ihrer Verfügung vom 26. März 2015 geltend, der Beschwerdeführer sei in der Schweiz erwerbstätig gewesen, ohne im Besitz einer erforderlichen ausländerrechtlichen Bewilligung zu sein. Gemäss ständiger Praxis und Rechtsprechung liege damit ein Verstoss gegen die öffentliche Sicherheit und Ordnung im Sinne von Art. 67 AuG vor.</w:t>
      </w:r>
    </w:p>
    <w:p>
      <w:r>
        <w:rPr>
          <w:b/>
        </w:rPr>
        <w:t>E. 5.2</w:t>
      </w:r>
    </w:p>
    <w:p>
      <w:r>
        <w:t>Mit Beschwerde vom 6. Mai 2015 liess der Beschwerdeführer vorgebringen, dass die Begründung der Verfügung falsch sei und er in der Schweiz nicht erwerbstätig gewesen sei.</w:t>
      </w:r>
    </w:p>
    <w:p>
      <w:r>
        <w:rPr>
          <w:b/>
        </w:rPr>
        <w:t>E. 5.3</w:t>
      </w:r>
    </w:p>
    <w:p>
      <w:r>
        <w:t>Die Vorinstanz führte in ihrer Vernehmlassung aus, dass einen Verstoss gegen die öffentliche Sicherheit und Ordnung i. S. von Art. 67 Abs. 2 Bst. a AuG auch begehe, wer Normen des Ausländerrechts zuwider handle. Dabei genüge es, wenn der ausländischen Person eine Sorgfaltspflichtverletzung zugerechnet werden könne. Unkenntnis und Fehlinterpretation der Einreise- und Aufenthaltsvorschriften würden keinen hinreichenden Grund für ein Absehen von einer Fernhaltemassnahme darstellen. Ausländerinnen und Ausländer, die in der Schweiz eine Erwerbstätigkeit ausüben wollten, würden unabhängig von der Aufenthaltsdauer eine Bewilligung benötigen. Als Erwerbstätigkeit gelte jede üblicherweise gegen Entgelt ausgeübte unselbständige oder selbständige Tätigkeit, selbst wenn sie unentgeltlich erfolge. Dabei sei ohne Belang, ob die Erwerbstätigkeit nur stunden- oder tageweise oder vorübergehend ausgeübt werde. Prinzipiell gelte dies auch für Hilfeleistungen im Familienkreis.</w:t>
      </w:r>
    </w:p>
    <w:p>
      <w:r>
        <w:rPr>
          <w:b/>
        </w:rPr>
        <w:t>E. 5.4</w:t>
      </w:r>
    </w:p>
    <w:p>
      <w:r>
        <w:t>Anlässlich der polizeilichen Einvernahme durch die Kantonspolizei Aargau gab der Beschwerdeführer zu Protokoll, er habe seinem Schwager unentgeltlich geholfen eine Decke zu isolieren. Er habe nicht gewusst, dass er etwas Falsches mache und anerkenne die Tatbestände (kant.-pag. S. 3 ff.).</w:t>
      </w:r>
    </w:p>
    <w:p>
      <w:r>
        <w:rPr>
          <w:b/>
        </w:rPr>
        <w:t>E. 5.5</w:t>
      </w:r>
    </w:p>
    <w:p>
      <w:r>
        <w:t>Laut Rapport der Kantonspolizei Aargau vom 29. April 2015 wurde der Beschwerdeführer durch Kontrolleure des Migrationsamtes Aargau auf einer Baustelle arbeitend angetroffen (kant.-pag. 20 f.)</w:t>
      </w:r>
    </w:p>
    <w:p>
      <w:r>
        <w:rPr>
          <w:b/>
        </w:rPr>
        <w:t>E. 5.6</w:t>
      </w:r>
    </w:p>
    <w:p>
      <w:r>
        <w:t>Aufgrund der Aktenlage ist davon auszugehen, dass der Beschwerdeführer ohne Bewilligung erwerbstätig war. 6.6.1 Gemäss Art. 11 Abs. 1 AuG benötigen Ausländer, die in der Schweiz eine Erwerbstätigkeit ausüben wollen, eine Bewilligung. Als Erwerbstätigkeit gilt hierbei jede üblicherweise gegen Entgelt ausgeübte unselbstständige oder selbstständige Tätigkeit, selbst wenn sie unentgeltlich erfolgt (Art. 11 Abs. 2 AuG). Als unselbstständige Erwerbstätigkeit gilt jede Tätigkeit für einen Arbeitgeber mit Sitz in der Schweiz oder im Ausland, wobei es ohne Belang ist, ob der Lohn im In- oder Ausland ausbezahlt wird und eine Beschäftigung nur stunden- oder tageweise oder vorübergehend ausgeübt wird (Art. 1a Abs. 1 VZAE). 6.2 Der Beschwerdeführer verweist auf sein verwandtschaftliches Verhältnis zu seinem Schwager und bringt vor, gemäss Urteil des BVGer C-2882/2010 vom 20. Juni 2011 E. 4.2 sei der gegenseitige Beistand zwischen nahen Verwandten keine Erwerbstätigkeit, solange er mit Blick auf die konkreten Umstände des Einzelfalles noch als üblich bzw. sozialadäquat betrachtet werden könne. Aufgrund der Akten stehe fest, dass er in der Schweiz keine Erwerbstätigkeit ausgeübt habe. Beim vermeintlichen Arbeitgeber handle es sich um seinen Schwager. Dieser habe ihm im Frühjahr 2015 während zwei Tagen beim Umzug von B._______ nach C._______ geholfen. Als Gegenleistung habe er dem Schwager seine Hilfe angeboten. Geplant sei gewesen, dass er ihm einen Tag lang helfe. Es handelte sich in casu nicht um ein einseitiges Verhältnis. Eine Ausnahmesituation, bei der der Erwerbscharakter durch eine besondere verwandtschaftliche oder emotionale Nähe in den Hintergrund gedrängt wird, liegt nicht vor. Der Beschwerdeführer hätte durch einen x-beliebigen Dritten ersetzt werden können, ohne dass der besondere Charakter der Hilfeleistung verloren gegangen wäre (vgl. dazu Urteil des BVGer C-5190/2014 vom 25. September 2015 E. 5.3.3 m.H.). Die vom Beschwerdeführer erledigte Tätigkeit wird üblicherweise gegen Entgelt vorgenommen, weshalb sogar dann eine Bewilligungspflicht besteht, wenn sie unentgeltlich erfolgt wie in casu (Art. 11 Abs. 2 AuG). Ebenfalls nicht entscheidend ist, dass die Beschäftigung nur vorübergehend ausgeübt wurde (Art. 1a Abs. 1 VZAE). Im vom Beschwerdeführer erwähnten Fall ging es um eine Person, die ihrer Schwester, welche in einem fortgeschrittenen Stadium an Multipler Skle­rose erkrankt war, beistehen wollte. Das BVGer führte dort aus, dass auch eine engma­schigere Betreuung noch nicht als Erwerbstätigkeit im Sinne des Gesetzes zu bewerten sei. Dies jedenfalls solange nicht, als der Aufenthalt der Be­schwerdeführerin den für erwerbslose Personen geltenden bewilligungs­freien Rahmen in zeitlicher Hinsicht nicht überschreite. Der Sachverhalt dieses Falles ist nicht mit demjenigen im vorliegenden Fall vergleichbar, da die Beschwerdeführerin in ihrer Funktion als Schwester nicht wie in casu durch eine beliebige dritte Person hätte ersetzt werden können. Allem voran aber übersieht der Beschwerdeführer, dass es beim von ihm angerufenen Verfahren um ein Visum, mithin eine vorgängige Beurteilung einer Bewilligungserteilung und nicht - wie in casu - eine nachträgliche Beurteilung im Rahmen einer Fernhaltemassnahme ging. 6.3 Für die Verhängung eines Einreiseverbots ist zudem - wie die Vor- instanz korrekt ausführte - auch kein vorsätzlicher Verstoss gegen ausländerrechtliche Bestimmungen erforderlich. Es genügt, wenn der ausländischen Person eine Sorgfaltspflichtverletzung zugerechnet werden kann. Unkenntnis oder Fehlinterpretation der Einreise- oder Aufenthaltsvorschriften stellen normalerweise keinen hinreichenden Grund für ein Absehen von einer Fernhaltemassnahme dar. Es obliegt jedem Ausländer und jeder Ausländerin, sich über die bestehenden Rechte und Pflichten im Zusammenhang mit ausländerrechtlichen Vorschriften ins Bild zu setzen und sich im Falle von Unklarheiten bei der zuständigen Behörde zu erkundigen (vgl. statt vieler Urteil des BVGer C-6661/2014 vom 22. Oktober 2015 E. 6.4). 6.4 Der Beschwerdeführer ist somit durch seine Tätigkeit einer Erwerbstätigkeit nachgegangen, ohne im Besitz der hierfür erforderlichen Bewilligung zu sein (vgl. Art. 115 Abs. 1 Bst. c i.V.m. Art. 11 AuG und Art. 1a Abs. 1 VZAE). 6.5 Durch die Aufnahme einer Erwerbstätigkeit ohne Bewilligung hat der Beschwerdeführer gegen die öffentliche Sicherheit und Ordnung verstossen und damit hinreichenden Anlass für die Verhängung eines Einreiseverbotes gegeben (vgl. Art. 67 Abs. 2 Bst. a AuG; Art. 80 Abs. 1 Bst. a VZAE).</w:t>
      </w:r>
    </w:p>
    <w:p>
      <w:r>
        <w:rPr>
          <w:b/>
        </w:rPr>
        <w:t>E. 7.1</w:t>
      </w:r>
    </w:p>
    <w:p>
      <w:r>
        <w:t>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bspw. Häfelin/Müller/Uhlmann, Allgemeines Verwaltungsrecht, 6. Aufl., Zürich und St.Gallen 2010, Rz. 613 f.).</w:t>
      </w:r>
    </w:p>
    <w:p>
      <w:r>
        <w:rPr>
          <w:b/>
        </w:rPr>
        <w:t>E. 7.2</w:t>
      </w:r>
    </w:p>
    <w:p>
      <w:r>
        <w:t>Der Beschwerdeführer ging in der Schweiz ohne Bewilligung einer Erwerbstätigkeit nach und wurde deshalb weggewiesen. Aus dem von ihm manifestierten Verhalten ist auf eine Gefährdung der öffentlichen Sicherheit und Ordnung zu schliessen d.h. das Einreiseverbot hat auch spezialpräventiven Charakter, um einer weiteren illegalen Erwerbstätigkeit des Beschwerdeführers und damit einer weiteren Störung der öffentlichen Sicherheit und Ordnung entgegenzuwirken (vgl. Urteil C-6661/2014 vom 22. Oktober 2015 E. 7.2 m.H.).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2C_516/2014 vom 24. März 2015 E. 4.3.2 m.H.). Es besteht somit ein gewichtiges öffentliches Interesse an der Fernhaltung des Beschwerdeführers.</w:t>
      </w:r>
    </w:p>
    <w:p>
      <w:r>
        <w:rPr>
          <w:b/>
        </w:rPr>
        <w:t>E. 7.3</w:t>
      </w:r>
    </w:p>
    <w:p>
      <w:r>
        <w:t>Den öffentlichen Interessen sind die privaten Interessen des Be­schwerdeführers gegenüberzustellen. Diese können in den Beziehungen zu Verwandten in der Schweiz erblickt werden, vermögen jedoch weder eine Aufhebung, noch eine Reduktion der Dauer des Einreiseverbots zu rechtfertigen. Dem Beschwerdeführer sind überdies während der Geltungsdauer der Fernhaltemassnahme Besuchsaufenthalte bei ihm nahe stehenden Personen in der Schweiz nicht schlichtweg untersagt; das SEM kann die Fernhaltemassnahme auf begründetes Gesuch hin aus humanitären oder anderen wichtigen Gründen - wie bereits geschehen - befristet suspendieren (vgl. Art. 67 Abs. 5 AuG; BVGE 2013/4 E. 7.4.3 m.H.). Im Übrigen kann er den Kontakt zu seinen Verwandten auch auf andere Weise als durch Besuche in der Schweiz pflegen (z.B. Briefverkehr, Telefonate, Besuche der Verwandten in seinem Heimatland oder im jetzigen Aufenthaltsstaat). Die zweijährige Dauer der Fernhaltemassnahme entspricht sodann der Praxis des Gerichts in vergleichbaren Fällen (vgl. z.B. die Urteile des BVGer C-6661/2014 vom 22. Oktober 2015 E. 7, C-1608/2015 vom 26. August 2015 E. 5, C-6052/2013 vom 30. Juni 2015 E. 6, C-5556/2014 vom 28. Mai 2015 E. 5, C-7314/2014 vom 30. März 2015 E. 5, C 6993/2014 vom 30. März 2015 E. 5; C-3698/2012 vom 20. Februar 2014 E. 5; C 447/2013 vom 31. Januar 2014 E. 5; C 6693/2011 vom 1. März 2013 E. 5, C-4953/2010 vom 24. August 2012 E.7).</w:t>
      </w:r>
    </w:p>
    <w:p>
      <w:r>
        <w:rPr>
          <w:b/>
        </w:rPr>
        <w:t>E. 7.4</w:t>
      </w:r>
    </w:p>
    <w:p>
      <w:r>
        <w:t>Das verhängte Einreiseverbot stellt somit sowohl im Grundsatz als auch hinsichtlich der Dauer eine verhältnismässige und angemessene Massnahme zum Schutz der öffentlichen Sicherheit und Ordnung dar. 8.Die Vorinstanz hat mit der angefochtenen Verfügung Bundesrecht nicht verletzt und den rechtserheblichen Sachverhalt richtig und vollständig festgestellt. Die Verfügung ist auch angemessen (Art. 49 VwVG). Die Beschwerde ist daher abzuweisen. 9.9.1 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26. Juni 2015 wurde der Entscheid über das Gesuch betreffend unentgeltliche Rechtspflege auf einen späteren Zeitpunkt verschoben, weshalb dies nun nachzuholen ist. 9.2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9.3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auf Fr. 1'200.-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