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C-2896/2006 vom 16. Oktober 2008</w:t>
      </w:r>
    </w:p>
    <w:p>
      <w:r>
        <w:t>Bundesverwaltungsgericht, 2008-10-16, DE</w:t>
      </w:r>
    </w:p>
    <w:p>
      <w:r>
        <w:rPr>
          <w:b/>
        </w:rPr>
        <w:t xml:space="preserve">Quelle: </w:t>
      </w:r>
      <w:r>
        <w:t>https://mcp.opencaselaw.ch/entscheid/bvger_C-2896_2006</w:t>
      </w:r>
    </w:p>
    <w:p>
      <w:r>
        <w:t>FR: TAF C-2896/2006 du 16 octobre 2008</w:t>
      </w:r>
    </w:p>
    <w:p>
      <w:r>
        <w:t>IT: TAF C-2896/2006 del 16 ottobre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15. August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durch den ordentlich vertretenen Beschwerdeführer eingereicht (vgl. Art. 38 ff. und Art. 60 ATSG, Art. 52 VwVG). Als Adressat des die Einsprache abweisenden Entscheides ist der Beschwerdeführer berührt und er hat ein schutzwürdiges Interesse an dessen Aufhebung oder Änderung (Art. 59 ATSG, Art. 48 Abs. 1 VwVG).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Zunächst sind die für die Beurteilung der vorliegenden Streitsache wesentlichen Rechtssätze und die von der Rechtsprechung entwickelten Grundsätze darzustellen.</w:t>
      </w:r>
    </w:p>
    <w:p>
      <w:r>
        <w:rPr>
          <w:b/>
        </w:rPr>
        <w:t>E. 3.1</w:t>
      </w:r>
    </w:p>
    <w:p>
      <w:r>
        <w:t>Nach der Rechtsprechung stellt das Sozialversicherungsgericht bei der Beurteilung einer Streitsache in der Regel auf den bis zum Zeitpunkt des Erlasses des streitigen Einspracheentscheides (hier: 15. August 2006) eingetretenen Sachverhalt ab (BGE 129 V 1 E. 1.2 mit Hinweis). Weiter sind in zeitlicher Hinsicht grundsätzlich diejenigen Rechtssätze massgebend, die bei der Erfüllung des zu Rechtsfolgen führenden Tatbestandes Geltung hatten (BGE 130 V 329).</w:t>
      </w:r>
    </w:p>
    <w:p>
      <w:r>
        <w:rPr>
          <w:b/>
        </w:rPr>
        <w:t>E. 3.1.1</w:t>
      </w:r>
    </w:p>
    <w:p>
      <w:r>
        <w:t>Bei den materiellen Bestimmungen des IVG und der Verordnung vom 17. Januar 1961 über die Invalidenversicherung (IVV, SR 831. 201) ist für die Beurteilung eines Rentenanspruchs vor dem 1. Januar 2004 auf die bis Ende 2003 gültige Fassung, danach auf die Fassung gemäss den am 1. Januar 2004 in Kraft getretenen Änderungen (4. IV-Revision) abzustellen. Nicht zu berücksichtigen sind die durch die 5. IV-Revision eingeführten Änderungen, welche am 1. Januar 2008 in Kraft getreten sind (AS 2007 5129). Im Folgenden werden deshalb die bis Ende 2007 gültig gewesenen Bestimmungen des IVG und der IVV zitiert.</w:t>
      </w:r>
    </w:p>
    <w:p>
      <w:r>
        <w:rPr>
          <w:b/>
        </w:rPr>
        <w:t>E. 3.1.2</w:t>
      </w:r>
    </w:p>
    <w:p>
      <w:r>
        <w:t>Der Beschwerdeführer ist österreichischer Staatsangehöriger,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w:t>
      </w:r>
    </w:p>
    <w:p>
      <w:r>
        <w:rPr>
          <w:b/>
        </w:rPr>
        <w:t>E. 3.1.3</w:t>
      </w:r>
    </w:p>
    <w:p>
      <w:r>
        <w:t>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schweizerischem Recht (BGE 130 V 253 E. 2.4).</w:t>
      </w:r>
    </w:p>
    <w:p>
      <w:r>
        <w:rPr>
          <w:b/>
        </w:rPr>
        <w:t>E. 3.2</w:t>
      </w:r>
    </w:p>
    <w:p>
      <w:r>
        <w:t>Bei den im ATSG (in der Fassung vom 20. Oktober 2000, in Kraft seit 1. Januar 2003) enthaltenen Legaldefinitionen der Arbeitsunfähigkeit, der Erwerbsunfähigkeit, der Invalidität und der Einkommensvergleichsmethode handelt es sich um Kodifizierungen der bisherigen Rechtsprechung. Die von der Rechtsprechung zu den einzelnen Begriffen entwickelten Grundsätze haben unter der Herrschaft des ATSG weiterhin Geltung (BGE 130 V 343).</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Die Annahme eines psychischen Gesundheitsschadens, so auch einer anhaltenden somatoformen Schmerzstörung, setzt zunächst eine fachärztlich (psychiatrisch) gestellte Diagnose nach einem wissenschaftlich anerkannten Klassifikationssystem voraus. Nach der Rechtsprechung vermag indes eine diagnostizierte anhaltende somatoforme Schmerzstörung als solche nur ausnahmsweise eine Invalidität zu begründen. Vielmehr besteht eine Vermutung, dass die somatoforme Schmerzstörung oder ihre Folgen mit einer zumutbaren Willensanstrengung überwindbar sind (BGE 131 V 49 E. 1.2). Dieser Grundsatz gilt für sämtliche pathogenetisch-ätiologisch unklaren syndromalen Beschwerdebilder ohne nachweisbare organische Grundlage (Urteil BGer I 70/07 vom 14. April 2008 E. 5).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können auch weitere Faktoren sein, dazu gehören insbesondere: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(BGE 131 V 49 E. 1.2).</w:t>
      </w:r>
    </w:p>
    <w:p>
      <w:r>
        <w:rPr>
          <w:b/>
        </w:rPr>
        <w:t>E. 3.5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3.6</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3.7</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 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d.h.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SVR 1996 IV Nr. 70 S. 204 E. 3a).</w:t>
      </w:r>
    </w:p>
    <w:p>
      <w:r>
        <w:rPr>
          <w:b/>
        </w:rPr>
        <w:t>E. 4</w:t>
      </w:r>
    </w:p>
    <w:p>
      <w:r>
        <w:t>Streitig und im vorliegenden Verfahren zu prüfen ist, ob sich der Gesundheitszustand des Beschwerdeführers in der Zeit zwischen dem 23. November 2000 (Datum der ersten abweisenden Verfügung) und dem 15. August 2006 (streitiger Einspracheentscheid) erheblich verschlechtert hat und die Arbeits- und Erwerbsfähigkeit dadurch vermehrt beeinträchtigt wird.</w:t>
      </w:r>
    </w:p>
    <w:p>
      <w:r>
        <w:rPr>
          <w:b/>
        </w:rPr>
        <w:t>E. 4.1</w:t>
      </w:r>
    </w:p>
    <w:p>
      <w:r>
        <w:t>Der Verfügung vom 23. November 2000, mit welcher die IV-Stelle das Vorliegen eines rentenanspruchsbegründenden Invaliditätsgrades verneinte, lag folgende Beurteilung zu Grunde: Aufgrund der gesundheitlichen Beeinträchtigungen (Osteochondrose, Unkarthrose und Spondylarthrose C 5/6 mit Einengung der Foramina intervertebralia und breitbasiger Diskushernie, degenerativen Veränderungen der Bandscheiben C 4-6, einer Diskushernie L5/S1, einer Bandscheibendegeneration L2/S1, Spondylarthrose L 4/5 und L5/S1, Hämangiomen im Wirbelkörper L4 und L5 sowie einem Impingementsyndrom der rechten Schulter) könne der Versicherte zwar seine frühere Tätigkeit als Hilfsarbeiter in einem Metallverarbeitungsbetrieb nicht mehr ausüben. In einer leidensangepassten Tätigkeit (leichte Arbeiten in wechselnder Körperhaltung) bestehe aber eine Arbeitsfähigkeit von 75 %, weshalb er ein rentenausschliessendes Einkommen erzielen könne. Auf die Durchführung eines Einkommensvergleichs wurde - soweit aus den Akten ersichtlich - verzichtet (vgl. IV-Akt. 18-28; Urteil Rekurskommission AHV/IV vom 24. Mai 2002, IV-Akt. 31).</w:t>
      </w:r>
    </w:p>
    <w:p>
      <w:r>
        <w:rPr>
          <w:b/>
        </w:rPr>
        <w:t>E. 4.2</w:t>
      </w:r>
    </w:p>
    <w:p>
      <w:r>
        <w:t>Im nervenärztlichen Gutachten vom 22. Februar 2005 beantwortete Dr. C._______ die Fragen des Sozialgerichts Feldkirch nach den bestehenden Krankheiten bzw. Gesundheitsstörungen wie folgt: 1) Im Vordergrund stehe aktuell ein chronifiziertes Schmerzsyndrom mit Maximum entlang der Wirbelsäule mit Ausstrahlung in die unteren und geringer in die oberen Extremitäten. 2) Mittelgradig reaktiv depressive Störung mit Antriebshemmung, Biorhythmusstörungen, allgemeiner Reduktion der Schmerztoleranz. 3) Die immer wiederkehrenden Schwindelzustände wie auch wiederholenden Kollapszustände seien als funktionelle vorübergehende Durchblutungsstörung in der hinteren Schädelgrube bei deutlich degenerativer Halswirbelsäulenveränderung wie auch chronifiziertem Halswirbelsäulenschmerzsyndrom zu werten. Es bestehe kein Hinweis für ein epileptisches Anfallsgeschehen (IV-Akt. 76 S. 7). Bei der Untersuchung hätten sich keine Hinweise auf Aggravation oder Simulation ergeben (S. 5). Zur Frage nach den Behinderungen und Funktionsausfällen führte der Gutachter aus, subjektiv habe sich seit der Letztbegutachtung vor allem die chronische Schmerzstörung verschlechtert. Ein objektivierbares pathologisches Substrat habe nicht erhoben werden können. Aufgrund der Symptomenkonstanz und der beschriebenen Auffälligkeiten im Neurostatus sei die Schmerzstörung aus nervenärztlicher Sicht glaubhaft und in weiterer Folge der Explorand derzeit unter den üblichen Bedingungen auf dem Arbeitsmarkt nicht mehr arbeitsfähig. Unter gezielten rehabilitativen Massnahmen, einschliesslich einer konsequenten Schmerztherapie, könnte sich das Leistungsvermögen verbessern, frühestens jedoch in sechs Monaten, sodass möglicherweise die Wiederaufnahme einer leichten Tätigkeit während vier Stunden täglich möglich sein könnte (S. 7). Der orthopädische Gutachter Dr. B._______ beantwortete die Fragen des Gerichts dahingehend, dass der Kläger an chronischen ausgeprägten Kreuzschmerzen aufgrund einer ausgeprägten Abnutzung im Bewegungssegment L5/S1 mit kernspintomographisch nachgewiesener Instabilitätsreaktion, chronischen Nackenschmerzen bei ausgeprägten Abnutzungen im Bewegungssegment C5/C6 (mit deutlicher Instabilität) und einem subacromialen Impingement an der rechten Schulter leide. Leichte Arbeiten in geschlossenen Räumen (ohne Durchzug) mit einem häufigem Wechsel zwischen Gehen, Stehen und Sitzen, ohne häufiges Bücken, langes Vorneigen des Rumpfes oder häufige Drehbewegungen der Halswirbelsäule, sei eine Arbeitsleistung von acht Stunden täglich möglich (IV-Akt. 75, S. 4 f.). Gemäss dem im Auftrag der PVA erstellten Gesamtgutachten von Dr. H._______, welches auf einer am 27. April 2006 durchgeführten Untersuchung und dem psychiatrisch-neurologischen Gutachten von Dr. J._______ vom 16. Mai 2006 beruht, bewirken folgende Diagnosen eine Minderung der Erwerbsfähigkeit: Chronisches oberes Cervikalsyndrom mit rezidivierendem Schwindel und seit 1999 einigen Kollapszuständen, chronifiziertes depressives Syndrom, Verdacht auf Vorliegen eines restless legs-Syndrom. Das klinische Beschwerdebild habe sich in den letzten Jahren weiter verschlimmert und verfestigt. Neuropsychiatrisch liege ein zwischenzeitlich chronifiziertes depressives Syndrom in Zusammenhang mit einer chronischen Schmerzstörung vor. Eine Arbeitswiederaufnahme sei nicht möglich, weil er zentral derzeit nicht ausreichend belastbar sei (IV-Akt. 96). Dr. G._______, diagnostiziert in seinen nervenärztlichen Stellungnahmen vom 6. März 2006 (IV-Akt. 88) und vom 5. März 2007 (Akt. 4/1) ein chronisches HWS-Syndrom, eine anhaltende somatoforme Schmerzstörung, eine mittelgradige depressive Störung sowie Diabetes mellitus Typ II. Ein therapeutischer Zugang sei nur schwer möglich. Die Prognose sei als schlecht einzustufen, weil eine wesentliche Besserung der Schmerzsymptome unter Berücksichtigung der psychischen Komorbidität mit Depression nicht mehr zu erwarten sei. Ob und gegebenenfalls seit wann der Beschwerdeführer bei Dr. G._______ in (regelmässiger) Behandlung steht, geht aus den Berichten nicht hervor. Die Stellungnahme vom 5. März 2007 enthält auch keine Angaben zum Gesundheitszustand während der hier massgebenden Zeitperiode (bis August 2006).</w:t>
      </w:r>
    </w:p>
    <w:p>
      <w:r>
        <w:rPr>
          <w:b/>
        </w:rPr>
        <w:t>E. 4.3</w:t>
      </w:r>
    </w:p>
    <w:p>
      <w:r>
        <w:t>Dr. F._______ führte in seinem ersten Bericht vom 22. Juni 2006 aus, es habe zwar subjektiv eine Zunahme der Beschwerden stattgefunden, die objektivierbaren Befunde seien hingegen praktisch unverändert. Es sei nun eine somatoforme Schmerzstörung diagnostiziert worden, eine schwere psychiatrische Erkrankung sei aber nicht assoziiert. Der Versicherte sei in einer leidensangepassten Tätigkeit weiterhin 70 % arbeitsfähig (IV-Akt. 91). An seiner Einschätzung des Gesundheitszustandes und der Arbeitsfähigkeit hielt er in den weiteren Stellungnahmen, welche die IV-Stelle im Einsprache- und Beschwerdeverfahren einholte, fest (Berichte vom 5. November 2006 [IV-Akt. 99], vom 6. Januar 2007 [IV-Akt. 104] und vom 30. März 2007 [Akt. 6]).</w:t>
      </w:r>
    </w:p>
    <w:p>
      <w:r>
        <w:rPr>
          <w:b/>
        </w:rPr>
        <w:t>E. 4.4</w:t>
      </w:r>
    </w:p>
    <w:p>
      <w:r>
        <w:t>Aus den vorliegenden medizinischen Stellungnahmen erhellt, dass sich der Gesundheitszustand in der massgebenden Zeitperiode in somatischer Hinsicht nicht verschlechtert hat. Dies wird vom Beschwerdeführer auch nicht bestritten. Er beruft sich vielmehr darauf, dass ihm die österreichischen Ärzte aufgrund der somatoformen Schmerzstörung und der depressiven Störung eine vollumfängliche Arbeitsunfähigkeit attestieren.</w:t>
      </w:r>
    </w:p>
    <w:p>
      <w:r>
        <w:rPr>
          <w:b/>
        </w:rPr>
        <w:t>E. 4.4.1</w:t>
      </w:r>
    </w:p>
    <w:p>
      <w:r>
        <w:t>Die Gutachten der österreichischen Sachverständigen entsprechen nicht den Anforderungen, welche die schweizerische Rechtsprechung an medizinische Gutachten stellt, wenn die Arbeitsfähigkeit aufgrund einer somatoformen Schmerzstörung zu beurteilen ist (vgl. E. 3.4). Die Diagnosen wurden in der Regel nicht nach einem anerkannten Klassifikationssystem gestellt oder jedenfalls nicht entsprechend ausgewiesen. Die Gutachten enthalten auch keine Angaben zu den nach der schweizerischen Rechtsprechung massgebenden Kriterien zur Beurteilung der Frage, ob von einer an einer Schmerzstörung leidenden Person erwartet werden kann, dass sie trotz ihrer Schmerzen ihre an sich noch verbliebene Leistungsfähigkeit verwertet. Ob die diagnostizierte Depression - die je nach Bericht als mittelgradig reaktiv depressive Störung, chronifiziertes depressives Syndrom oder mittelgradige depressive Störung bezeichnet wird - als eigenständige psychische Komorbidität oder als Begleiterscheinung der Schmerzstörung zu werten ist, lässt sich aufgrund der psychiatrischen Stellungnahmen nicht beurteilen.</w:t>
      </w:r>
    </w:p>
    <w:p>
      <w:r>
        <w:rPr>
          <w:b/>
        </w:rPr>
        <w:t>E. 4.4.2</w:t>
      </w:r>
    </w:p>
    <w:p>
      <w:r>
        <w:t>Nach der Rechtsprechung ist es dem Sozialversicherungsgericht nicht verwehrt, gestützt auf im Wesentlichen oder sogar ausschliesslich vom am Recht stehenden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 122 V 157 E. 1d; Urteil BGer 9C_55/2008 vom 26. Mai 2008 E. 4.2). Eine fehlende fachspezifische Qualifikation stellt ein Indiz gegen die Zuverlässigkeit und damit den Beweiswert eines ärztlichen Berichts dar (Urteil BGer 9C_341/2007 vom 16. November 2007 E. 4.1 mit Hinweisen). Einer medizinischen Stellungnahme kommt schon dann kein voller Beweiswert zu, wenn Indizien gegen ihre Zuverlässigkeit sprechen; es muss nicht feststehen, dass der Bericht oder das Gutachten effektiv nicht den Tatsachen entspricht, was nicht mit medizinischen Fachpersonen besetzte Behörden oft nicht beurteilen könnten (Urteil BGer I 142/07 vom 20. November 2007 E. 3.2.1 mit Hinweis).</w:t>
      </w:r>
    </w:p>
    <w:p>
      <w:r>
        <w:rPr>
          <w:b/>
        </w:rPr>
        <w:t>E. 4.4.3</w:t>
      </w:r>
    </w:p>
    <w:p>
      <w:r>
        <w:t>Der IV-Stellenarzt Dr. F._______ ist gemäss FMH-Index Facharzt für Allgemeinmedizin und nicht Psychiater, was bereits ein gewichtiges Indiz gegen die Zuverlässigkeit seiner - von den Einschätzungen der entsprechend qualifizierten Gutachter abweichenden - Stellungnahmen darstellt. Im Übrigen sind seine Beurteilungen zum Teil nicht nachvollziehbar. Die Fragen der IV-Stelle zu den nach der Rechtsprechung massgebenden Kriterien, welche für eine ausnahmsweise unüberwindbare somatoforme Schmerzstörung sprechen, beantwortete er ohne weitere Begründung in der Regel lediglich mit "Nein" (IV-Akt. 91/3). Es bleibt damit weitgehend offen, woraus er seine Schlüsse zog. Eine ausführliche Sozialanamnese oder eine Schmerzanamnese, welche beispielsweise für die Beantwortung der Frage nach einem sozialen Rückzug wesentlich sein können, enthalten die Gutachten ebensowenig wie eine Behandlungsanamnese, aus der die durchgeführten bzw. gescheiterten therapeutischen Massnahmen ersichtlich wären. Zweifel an der Zuverlässigkeit der Einschätzung des IV-Arztes erweckt im vorliegenden Fall auch die Aussage im Bericht vom 6. Januar 2007, wonach ein Gutachter auch auf aggravatorische Zeichen hingewiesen habe, ohne dass angegeben wird, welches Gutachten den entsprechenden Hinweis enthält. Weil Dr. C._______ bei seiner ersten Begutachtung im Dezember 2003 solche Hinweise beobachtete (IV-Akt. 62, S. 5) in seinem zweiten Gutachten vom 22. Februar 2005 aber Hinweise auf Aggravation oder Simulation verneinte (IV-Akt. 76 S. 5), wären dazu präzisere Ausführungen nötig gewesen. Auf die Einschätzungen von Dr. F._______ kann demnach nicht abgestellt werden.</w:t>
      </w:r>
    </w:p>
    <w:p>
      <w:r>
        <w:rPr>
          <w:b/>
        </w:rPr>
        <w:t>E. 4.4.4</w:t>
      </w:r>
    </w:p>
    <w:p>
      <w:r>
        <w:t>Als die IV-Stelle das Dossier erstmals dem medizinischen Dienst vorlegte, waren die neueren, im Verfahren vor dem Sozialgericht Feldkirch erstellten, Gutachten noch nicht eingegangen. Die Einschätzung von Dr. D._______, Facharzt für Psychiatrie und Psychotherapie, vom 7. Mai 2005 (IV-Akt. 70), wonach der Beschwerdeführer aus psychiatrischer Sicht 30 % arbeitsunfähig sei, beruht auf dem ersten nervenärztlichen Gutachten von Dr. C._______ vom 23. Dezember 2003. Damals diagnostizierte der Gutachter - betreffend Depression - noch ein gering- bis mittelgradig chronisches Zustandsbild und erachtete eine leichte leidensangepasste Tätigkeit während vier Stunden pro Tag als möglich (IV-Akt. 62 S. 8 f.). Weil der gleiche Gutachter im Jahr 2005 aus psychiatrischer Sicht eine Verschlechterung des Gesundheitszustandes feststellte und eine vollumfängliche Arbeitsunfähigkeit attestierte, hätte die IV-Stelle zumindest eine weitere psychiatrische Beurteilung, welche auch eine nachvollziehbare Begründung enthält, einholen müssen.</w:t>
      </w:r>
    </w:p>
    <w:p>
      <w:r>
        <w:rPr>
          <w:b/>
        </w:rPr>
        <w:t>E. 4.5</w:t>
      </w:r>
    </w:p>
    <w:p>
      <w:r>
        <w:t>Zusammenfassend ist festzustellen, dass sich der psychische, nicht aber der somatische, Gesundheitszustand des Beschwerdeführers in der massgebenden Zeitperiode verschlechtert hat. Ob und gegebenenfalls in welchem Ausmass die psychischen Leiden die Arbeitsfähigkeit beeinträchtigen bzw. ob vom Beschwerdeführer verlangt werden kann, dass er trotz seiner Schmerzen die aus somatischer Sicht bestehende Restarbeitsfähigkeit verwertet, kann aufgrund der vorliegenden medizinischen Unterlagen nicht beurteilt werden. Die IV-Stelle wird die entsprechenden Abklärungen vorzunehmen haben und anschliessend über das Leistungsbegehren neu verfügen. In diesem Sinne ist die Beschwerde gutzuheissen.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Eine Rückweisung gilt praxisgemäss als Obsiegen der Beschwerde führenden Partei (BGE 132 V 215 E. 6). Den Vorinstanzen werden keine Verfahrenskosten auferlegt (Art. 63 Abs. 2 VwVG).</w:t>
      </w:r>
    </w:p>
    <w:p>
      <w:r>
        <w:rPr>
          <w:b/>
        </w:rPr>
        <w:t>E. 5.2</w:t>
      </w:r>
    </w:p>
    <w:p>
      <w:r>
        <w:t>Der (berufsmässig)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gebotenen und aktenkundigen Aufwands auf Fr. 1'000.-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